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60"/>
        <w:jc w:val="center"/>
      </w:pPr>
      <w:r>
        <w:rPr>
          <w:rFonts w:ascii="Hiragino Sans GB" w:hAnsi="Hiragino Sans GB" w:eastAsia="Hiragino Sans GB"/>
          <w:b/>
          <w:color w:val="1F4D78"/>
          <w:sz w:val="44"/>
        </w:rPr>
        <w:t>任务管理业务流程版操作手册</w:t>
      </w:r>
    </w:p>
    <w:p>
      <w:pPr>
        <w:jc w:val="center"/>
      </w:pPr>
      <w:r>
        <w:rPr>
          <w:rFonts w:ascii="Hiragino Sans GB" w:hAnsi="Hiragino Sans GB" w:eastAsia="Hiragino Sans GB"/>
          <w:b w:val="0"/>
          <w:i/>
        </w:rPr>
        <w:t>Word 版｜根据当前 HTML 手册内容整理</w:t>
      </w:r>
    </w:p>
    <w:p/>
    <w:p>
      <w:pPr>
        <w:pStyle w:val="Heading1"/>
      </w:pPr>
      <w:r>
        <w:t>第一章 手册说明</w:t>
      </w:r>
    </w:p>
    <w:p>
      <w:pPr>
        <w:pStyle w:val="Heading2"/>
      </w:pPr>
      <w:r>
        <w:t>一、阅读路径</w:t>
      </w:r>
    </w:p>
    <w:p>
      <w:r>
        <w:rPr>
          <w:rFonts w:ascii="Hiragino Sans GB" w:hAnsi="Hiragino Sans GB" w:eastAsia="Hiragino Sans GB"/>
          <w:b w:val="0"/>
          <w:i w:val="0"/>
        </w:rPr>
        <w:t>第一次使用时，先根据自己的角色选择阅读路径，再按业务顺序操作。</w:t>
      </w:r>
    </w:p>
    <w:tbl>
      <w:tblPr>
        <w:tblStyle w:val="TableGrid"/>
        <w:tblW w:type="auto" w:w="0"/>
        <w:jc w:val="center"/>
        <w:tblLook w:firstColumn="1" w:firstRow="1" w:lastColumn="0" w:lastRow="0" w:noHBand="0" w:noVBand="1" w:val="04A0"/>
      </w:tblPr>
      <w:tblGrid>
        <w:gridCol w:w="3312"/>
        <w:gridCol w:w="3312"/>
        <w:gridCol w:w="3312"/>
      </w:tblGrid>
      <w:tr>
        <w:tc>
          <w:tcPr>
            <w:tcW w:type="dxa" w:w="3312"/>
            <w:tcMar>
              <w:top w:w="100" w:type="dxa"/>
              <w:start w:w="120" w:type="dxa"/>
              <w:bottom w:w="100" w:type="dxa"/>
              <w:end w:w="120" w:type="dxa"/>
            </w:tcMar>
            <w:vAlign w:val="center"/>
            <w:shd w:fill="E8EEF5"/>
          </w:tcPr>
          <w:p>
            <w:pPr>
              <w:spacing w:after="40"/>
            </w:pPr>
            <w:r>
              <w:rPr>
                <w:rFonts w:ascii="Hiragino Sans GB" w:hAnsi="Hiragino Sans GB" w:eastAsia="Hiragino Sans GB"/>
                <w:b/>
              </w:rPr>
              <w:t>你的角色</w:t>
            </w:r>
          </w:p>
        </w:tc>
        <w:tc>
          <w:tcPr>
            <w:tcW w:type="dxa" w:w="3312"/>
            <w:tcMar>
              <w:top w:w="100" w:type="dxa"/>
              <w:start w:w="120" w:type="dxa"/>
              <w:bottom w:w="100" w:type="dxa"/>
              <w:end w:w="120" w:type="dxa"/>
            </w:tcMar>
            <w:vAlign w:val="center"/>
            <w:shd w:fill="E8EEF5"/>
          </w:tcPr>
          <w:p>
            <w:pPr>
              <w:spacing w:after="40"/>
            </w:pPr>
            <w:r>
              <w:rPr>
                <w:rFonts w:ascii="Hiragino Sans GB" w:hAnsi="Hiragino Sans GB" w:eastAsia="Hiragino Sans GB"/>
                <w:b/>
              </w:rPr>
              <w:t>建议阅读顺序</w:t>
            </w:r>
          </w:p>
        </w:tc>
        <w:tc>
          <w:tcPr>
            <w:tcW w:type="dxa" w:w="3312"/>
            <w:tcMar>
              <w:top w:w="100" w:type="dxa"/>
              <w:start w:w="120" w:type="dxa"/>
              <w:bottom w:w="100" w:type="dxa"/>
              <w:end w:w="120" w:type="dxa"/>
            </w:tcMar>
            <w:vAlign w:val="center"/>
            <w:shd w:fill="E8EEF5"/>
          </w:tcPr>
          <w:p>
            <w:pPr>
              <w:spacing w:after="40"/>
            </w:pPr>
            <w:r>
              <w:rPr>
                <w:rFonts w:ascii="Hiragino Sans GB" w:hAnsi="Hiragino Sans GB" w:eastAsia="Hiragino Sans GB"/>
                <w:b/>
              </w:rPr>
              <w:t>主要完成事项</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会议创建人 / 纪要维护人</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第二章 → 第三章</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创建或补录会议，整理纪要并把待办转成任务。</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任务创建人</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第三章 → 第四章</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判断新建、合并或替换，补齐任务信息并提交。</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任务负责人</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第五章 → 第六章</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承接任务，反馈进度，处理协作和指导意见，发起结项。</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流程审批人 / 管理人员</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第一章 → 第四章 → 第五章 → 第七章</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理解状态、审批触发条件、结项规则和台账追溯。</w:t>
            </w:r>
          </w:p>
        </w:tc>
      </w:tr>
    </w:tbl>
    <w:p/>
    <w:p>
      <w:pPr>
        <w:ind w:left="173"/>
        <w:shd w:fill="F1F5F9"/>
      </w:pPr>
      <w:r>
        <w:rPr>
          <w:rFonts w:ascii="Hiragino Sans GB" w:hAnsi="Hiragino Sans GB" w:eastAsia="Hiragino Sans GB"/>
          <w:b/>
          <w:i w:val="0"/>
        </w:rPr>
        <w:t>会议材料产生待办，待办经过匹配后形成任务；任务发布后由负责人执行反馈，完成后提交结项并等待审批。</w:t>
      </w:r>
    </w:p>
    <w:p>
      <w:pPr>
        <w:pStyle w:val="Heading2"/>
      </w:pPr>
      <w:r>
        <w:t>二、编写目的</w:t>
      </w:r>
    </w:p>
    <w:p>
      <w:r>
        <w:rPr>
          <w:rFonts w:ascii="Hiragino Sans GB" w:hAnsi="Hiragino Sans GB" w:eastAsia="Hiragino Sans GB"/>
          <w:b w:val="0"/>
          <w:i w:val="0"/>
        </w:rPr>
        <w:t>本手册用于指导项目成员按真实办理顺序使用任务管理系统完成会议准备、纪要整理、任务生成、任务执行、协作签收、结项审批和台账追踪。</w:t>
      </w:r>
    </w:p>
    <w:p>
      <w:pPr>
        <w:pStyle w:val="Heading2"/>
      </w:pPr>
      <w:r>
        <w:t>三、适用范围</w:t>
      </w:r>
    </w:p>
    <w:p>
      <w:r>
        <w:rPr>
          <w:rFonts w:ascii="Hiragino Sans GB" w:hAnsi="Hiragino Sans GB" w:eastAsia="Hiragino Sans GB"/>
          <w:b w:val="0"/>
          <w:i w:val="0"/>
        </w:rPr>
        <w:t>本手册适用于任务管理系统中的以下业务：</w:t>
      </w:r>
    </w:p>
    <w:p>
      <w:pPr>
        <w:pStyle w:val="ListBullet"/>
      </w:pPr>
      <w:r>
        <w:rPr>
          <w:rFonts w:ascii="Hiragino Sans GB" w:hAnsi="Hiragino Sans GB" w:eastAsia="Hiragino Sans GB"/>
          <w:b w:val="0"/>
          <w:i w:val="0"/>
        </w:rPr>
        <w:t>会前准备与会议创建</w:t>
      </w:r>
    </w:p>
    <w:p>
      <w:pPr>
        <w:pStyle w:val="ListBullet"/>
      </w:pPr>
      <w:r>
        <w:rPr>
          <w:rFonts w:ascii="Hiragino Sans GB" w:hAnsi="Hiragino Sans GB" w:eastAsia="Hiragino Sans GB"/>
          <w:b w:val="0"/>
          <w:i w:val="0"/>
        </w:rPr>
        <w:t>会议纪要整理、AI 解析待办、任务匹配</w:t>
      </w:r>
    </w:p>
    <w:p>
      <w:pPr>
        <w:pStyle w:val="ListBullet"/>
      </w:pPr>
      <w:r>
        <w:rPr>
          <w:rFonts w:ascii="Hiragino Sans GB" w:hAnsi="Hiragino Sans GB" w:eastAsia="Hiragino Sans GB"/>
          <w:b w:val="0"/>
          <w:i w:val="0"/>
        </w:rPr>
        <w:t>手动新增任务、批量新增任务、子任务创建</w:t>
      </w:r>
    </w:p>
    <w:p>
      <w:pPr>
        <w:pStyle w:val="ListBullet"/>
      </w:pPr>
      <w:r>
        <w:rPr>
          <w:rFonts w:ascii="Hiragino Sans GB" w:hAnsi="Hiragino Sans GB" w:eastAsia="Hiragino Sans GB"/>
          <w:b w:val="0"/>
          <w:i w:val="0"/>
        </w:rPr>
        <w:t>任务签收、进度反馈、结项反馈与评价</w:t>
      </w:r>
    </w:p>
    <w:p>
      <w:pPr>
        <w:pStyle w:val="ListBullet"/>
      </w:pPr>
      <w:r>
        <w:rPr>
          <w:rFonts w:ascii="Hiragino Sans GB" w:hAnsi="Hiragino Sans GB" w:eastAsia="Hiragino Sans GB"/>
          <w:b w:val="0"/>
          <w:i w:val="0"/>
        </w:rPr>
        <w:t>协作任务签收、拒签和指导意见反馈</w:t>
      </w:r>
    </w:p>
    <w:p>
      <w:pPr>
        <w:pStyle w:val="ListBullet"/>
      </w:pPr>
      <w:r>
        <w:rPr>
          <w:rFonts w:ascii="Hiragino Sans GB" w:hAnsi="Hiragino Sans GB" w:eastAsia="Hiragino Sans GB"/>
          <w:b w:val="0"/>
          <w:i w:val="0"/>
        </w:rPr>
        <w:t>任务台账、会议台账、任务架构查询</w:t>
      </w:r>
    </w:p>
    <w:p>
      <w:pPr>
        <w:pStyle w:val="ListBullet"/>
      </w:pPr>
      <w:r>
        <w:rPr>
          <w:rFonts w:ascii="Hiragino Sans GB" w:hAnsi="Hiragino Sans GB" w:eastAsia="Hiragino Sans GB"/>
          <w:b w:val="0"/>
          <w:i w:val="0"/>
        </w:rPr>
        <w:t>任务中止、任务移交、离职继承等异动处理</w:t>
      </w:r>
    </w:p>
    <w:p>
      <w:pPr>
        <w:pStyle w:val="Heading2"/>
      </w:pPr>
      <w:r>
        <w:t>四、适用角色</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角色</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主要职责</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会议创建人 / 纪要维护人</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创建会议、同步会议信息、上传会议材料、整理纪要、确认 AI 识别结果并发起会议转任务。</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任务创建人</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手动新增任务、批量导入任务、维护责任协同关系、提交发布或提交变更。</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任务负责人</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接收并推进任务，提交进度反馈、结项反馈，回复领导指导意见。</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协作人 / 签收人</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签收协作任务、查看任务详情、提交协同反馈或拒签说明。</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流程审批人</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处理协作任务提交、结项审批和命中规则的变更审批。</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管理人员 / 领导</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查看会议台账、任务台账、任务架构、指导意见跟踪池，并处理任务中止、移交和离职继承。</w:t>
            </w:r>
          </w:p>
        </w:tc>
      </w:tr>
    </w:tbl>
    <w:p/>
    <w:p>
      <w:pPr>
        <w:pStyle w:val="Heading2"/>
      </w:pPr>
      <w:r>
        <w:t>五、整体业务流程图</w:t>
      </w:r>
    </w:p>
    <w:p>
      <w:pPr>
        <w:jc w:val="center"/>
      </w:pPr>
      <w:r>
        <w:drawing>
          <wp:inline xmlns:a="http://schemas.openxmlformats.org/drawingml/2006/main" xmlns:pic="http://schemas.openxmlformats.org/drawingml/2006/picture">
            <wp:extent cx="5577840" cy="8277515"/>
            <wp:docPr id="1" name="Picture 1"/>
            <wp:cNvGraphicFramePr>
              <a:graphicFrameLocks noChangeAspect="1"/>
            </wp:cNvGraphicFramePr>
            <a:graphic>
              <a:graphicData uri="http://schemas.openxmlformats.org/drawingml/2006/picture">
                <pic:pic>
                  <pic:nvPicPr>
                    <pic:cNvPr id="0" name="manual_flowchart_1.png"/>
                    <pic:cNvPicPr/>
                  </pic:nvPicPr>
                  <pic:blipFill>
                    <a:blip r:embed="rId9"/>
                    <a:stretch>
                      <a:fillRect/>
                    </a:stretch>
                  </pic:blipFill>
                  <pic:spPr>
                    <a:xfrm>
                      <a:off x="0" y="0"/>
                      <a:ext cx="5577840" cy="8277515"/>
                    </a:xfrm>
                    <a:prstGeom prst="rect"/>
                  </pic:spPr>
                </pic:pic>
              </a:graphicData>
            </a:graphic>
          </wp:inline>
        </w:drawing>
      </w:r>
    </w:p>
    <w:p/>
    <w:p>
      <w:pPr>
        <w:pStyle w:val="Heading2"/>
      </w:pPr>
      <w:r>
        <w:t>六、各阶段说明</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阶段</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说明</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会前准备</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完成会议预约、参会人确认、会议材料准备和丰声 Next 会议信息同步。</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会后整理</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上传纪要、转写、录音录屏等材料，借助 AI 形成待办清单和指导意见候选结果。</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任务生成</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对待办做任务匹配，决定新建、合并、替换或关联，并补充负责人、计划时间和上级任务。</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任务执行</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负责人接收任务后持续反馈，协作任务还要处理签收链路和协作关系留痕。</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结果闭环</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任务完成后提交结项，审批通过后进入评价、统计报表和历史追溯阶段。</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异常异动</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对中止、移交、离职继承、拒签、超期等情况进行单独处理和台账留痕。</w:t>
            </w:r>
          </w:p>
        </w:tc>
      </w:tr>
    </w:tbl>
    <w:p/>
    <w:p>
      <w:pPr>
        <w:pStyle w:val="Heading2"/>
      </w:pPr>
      <w:r>
        <w:t>七、通用操作说明</w:t>
      </w:r>
    </w:p>
    <w:p>
      <w:pPr>
        <w:pStyle w:val="ListNumber"/>
      </w:pPr>
      <w:r>
        <w:rPr>
          <w:rFonts w:ascii="Hiragino Sans GB" w:hAnsi="Hiragino Sans GB" w:eastAsia="Hiragino Sans GB"/>
          <w:b w:val="0"/>
          <w:i w:val="0"/>
        </w:rPr>
        <w:t>通过会议主题、任务标题、状态、负责人、创建人、时间范围等条件筛选数据。</w:t>
      </w:r>
    </w:p>
    <w:p>
      <w:pPr>
        <w:pStyle w:val="ListNumber"/>
      </w:pPr>
      <w:r>
        <w:rPr>
          <w:rFonts w:ascii="Hiragino Sans GB" w:hAnsi="Hiragino Sans GB" w:eastAsia="Hiragino Sans GB"/>
          <w:b w:val="0"/>
          <w:i w:val="0"/>
        </w:rPr>
        <w:t>需要查看完整记录时，优先点击列表中的会议主题、任务标题或详情按钮进入明细页。</w:t>
      </w:r>
    </w:p>
    <w:p>
      <w:pPr>
        <w:pStyle w:val="ListNumber"/>
      </w:pPr>
      <w:r>
        <w:rPr>
          <w:rFonts w:ascii="Hiragino Sans GB" w:hAnsi="Hiragino Sans GB" w:eastAsia="Hiragino Sans GB"/>
          <w:b w:val="0"/>
          <w:i w:val="0"/>
        </w:rPr>
        <w:t>提交、编辑、删除、导出等动作都受当前状态影响，按钮是否可操作以页面展示为准。</w:t>
      </w:r>
    </w:p>
    <w:p>
      <w:pPr>
        <w:pStyle w:val="ListNumber"/>
      </w:pPr>
      <w:r>
        <w:rPr>
          <w:rFonts w:ascii="Hiragino Sans GB" w:hAnsi="Hiragino Sans GB" w:eastAsia="Hiragino Sans GB"/>
          <w:b w:val="0"/>
          <w:i w:val="0"/>
        </w:rPr>
        <w:t>命中审批规则的业务会由流程引擎承接，任务模块负责展示流程记录、流程状态和回写结果。</w:t>
      </w:r>
    </w:p>
    <w:p>
      <w:pPr>
        <w:ind w:left="173"/>
        <w:shd w:fill="F1F5F9"/>
      </w:pPr>
      <w:r>
        <w:rPr>
          <w:rFonts w:ascii="Hiragino Sans GB" w:hAnsi="Hiragino Sans GB" w:eastAsia="Hiragino Sans GB"/>
          <w:b/>
          <w:i w:val="0"/>
        </w:rPr>
        <w:t>建议： 先在列表页确认当前对象处于哪个业务状态，再决定是继续执行、发起变更，还是进入审批或异动处理。</w:t>
      </w:r>
    </w:p>
    <w:p>
      <w:pPr>
        <w:pStyle w:val="Heading2"/>
      </w:pPr>
      <w:r>
        <w:t>八、状态机说明</w:t>
      </w:r>
    </w:p>
    <w:p>
      <w:r>
        <w:rPr>
          <w:rFonts w:ascii="Hiragino Sans GB" w:hAnsi="Hiragino Sans GB" w:eastAsia="Hiragino Sans GB"/>
          <w:b w:val="0"/>
          <w:i w:val="0"/>
        </w:rPr>
        <w:t>系统有多条并行状态机。查看任务时，先看任务主状态；如果涉及协作、会议或纪要，再分别查看对应的承接状态、会议状态和纪要审批状态。</w:t>
      </w:r>
    </w:p>
    <w:p>
      <w:pPr>
        <w:spacing w:before="140"/>
      </w:pPr>
      <w:r>
        <w:rPr>
          <w:rFonts w:ascii="Hiragino Sans GB" w:hAnsi="Hiragino Sans GB" w:eastAsia="Hiragino Sans GB"/>
          <w:b/>
          <w:i w:val="0"/>
        </w:rPr>
        <w:t>1. 任务主状态</w:t>
      </w:r>
    </w:p>
    <w:tbl>
      <w:tblPr>
        <w:tblStyle w:val="TableGrid"/>
        <w:tblW w:type="auto" w:w="0"/>
        <w:jc w:val="center"/>
        <w:tblLook w:firstColumn="1" w:firstRow="1" w:lastColumn="0" w:lastRow="0" w:noHBand="0" w:noVBand="1" w:val="04A0"/>
      </w:tblPr>
      <w:tblGrid>
        <w:gridCol w:w="3312"/>
        <w:gridCol w:w="3312"/>
        <w:gridCol w:w="3312"/>
      </w:tblGrid>
      <w:tr>
        <w:tc>
          <w:tcPr>
            <w:tcW w:type="dxa" w:w="3312"/>
            <w:tcMar>
              <w:top w:w="100" w:type="dxa"/>
              <w:start w:w="120" w:type="dxa"/>
              <w:bottom w:w="100" w:type="dxa"/>
              <w:end w:w="120" w:type="dxa"/>
            </w:tcMar>
            <w:vAlign w:val="center"/>
            <w:shd w:fill="E8EEF5"/>
          </w:tcPr>
          <w:p>
            <w:pPr>
              <w:spacing w:after="40"/>
            </w:pPr>
            <w:r>
              <w:rPr>
                <w:rFonts w:ascii="Hiragino Sans GB" w:hAnsi="Hiragino Sans GB" w:eastAsia="Hiragino Sans GB"/>
                <w:b/>
              </w:rPr>
              <w:t>状态</w:t>
            </w:r>
          </w:p>
        </w:tc>
        <w:tc>
          <w:tcPr>
            <w:tcW w:type="dxa" w:w="3312"/>
            <w:tcMar>
              <w:top w:w="100" w:type="dxa"/>
              <w:start w:w="120" w:type="dxa"/>
              <w:bottom w:w="100" w:type="dxa"/>
              <w:end w:w="120" w:type="dxa"/>
            </w:tcMar>
            <w:vAlign w:val="center"/>
            <w:shd w:fill="E8EEF5"/>
          </w:tcPr>
          <w:p>
            <w:pPr>
              <w:spacing w:after="40"/>
            </w:pPr>
            <w:r>
              <w:rPr>
                <w:rFonts w:ascii="Hiragino Sans GB" w:hAnsi="Hiragino Sans GB" w:eastAsia="Hiragino Sans GB"/>
                <w:b/>
              </w:rPr>
              <w:t>通常在什么时候出现</w:t>
            </w:r>
          </w:p>
        </w:tc>
        <w:tc>
          <w:tcPr>
            <w:tcW w:type="dxa" w:w="3312"/>
            <w:tcMar>
              <w:top w:w="100" w:type="dxa"/>
              <w:start w:w="120" w:type="dxa"/>
              <w:bottom w:w="100" w:type="dxa"/>
              <w:end w:w="120" w:type="dxa"/>
            </w:tcMar>
            <w:vAlign w:val="center"/>
            <w:shd w:fill="E8EEF5"/>
          </w:tcPr>
          <w:p>
            <w:pPr>
              <w:spacing w:after="40"/>
            </w:pPr>
            <w:r>
              <w:rPr>
                <w:rFonts w:ascii="Hiragino Sans GB" w:hAnsi="Hiragino Sans GB" w:eastAsia="Hiragino Sans GB"/>
                <w:b/>
              </w:rPr>
              <w:t>用户下一步</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草稿</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任务已保存，但还没有提交发布。</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补齐信息后提交发布，或继续编辑。</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发布流程中</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任务提交后命中发布审批规则。</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等待审批；驳回后按提示修改并重新提交。</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进行中</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任务已发布并进入正常执行。</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负责人持续提交进度反馈、附件或评论。</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超期未完成</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任务超过计划时间但还没有完成。</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优先纠偏；必要时发起任务变更。</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变更流程中</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任务的时间、责任或范围变更正在审批。</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等待审批；通过后回到执行状态，驳回后保留原任务信息。</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结项流程中</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负责人已提交结项反馈，正在等待审批。</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等待审批；驳回后补充成果或说明。</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已完成</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结项审批通过，任务完成归档。</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查看评价、统计和历史记录。</w:t>
            </w:r>
          </w:p>
        </w:tc>
      </w:tr>
    </w:tbl>
    <w:p/>
    <w:p>
      <w:pPr>
        <w:spacing w:before="140"/>
      </w:pPr>
      <w:r>
        <w:rPr>
          <w:rFonts w:ascii="Hiragino Sans GB" w:hAnsi="Hiragino Sans GB" w:eastAsia="Hiragino Sans GB"/>
          <w:b/>
          <w:i w:val="0"/>
        </w:rPr>
        <w:t>2. 协作承接状态</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状态</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说明</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待签收</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协作人尚未确认是否承接，任务主状态不等同于签收状态。</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已签收</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协作人已确认承接，后续按任务主状态执行反馈。</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已拒签</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协作人拒绝承接，需由创建人或负责人重新调整协作关系。</w:t>
            </w:r>
          </w:p>
        </w:tc>
      </w:tr>
    </w:tbl>
    <w:p/>
    <w:p>
      <w:pPr>
        <w:spacing w:before="140"/>
      </w:pPr>
      <w:r>
        <w:rPr>
          <w:rFonts w:ascii="Hiragino Sans GB" w:hAnsi="Hiragino Sans GB" w:eastAsia="Hiragino Sans GB"/>
          <w:b/>
          <w:i w:val="0"/>
        </w:rPr>
        <w:t>3. 会议台账主状态</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状态</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说明</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待召开</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会议已经创建，但尚未到会议开始时间。</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待纪要</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会议已进入会后阶段，等待纪要整理或提交。</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任务待确认</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纪要审批通过且 AI 待办生成完成，等待人工确认待办。</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任务待闭环</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待办已确认，关联任务正在推进或等待完成。</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任务已闭环</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所有关联任务已完成或中止。</w:t>
            </w:r>
          </w:p>
        </w:tc>
      </w:tr>
    </w:tbl>
    <w:p/>
    <w:p>
      <w:pPr>
        <w:spacing w:before="140"/>
      </w:pPr>
      <w:r>
        <w:rPr>
          <w:rFonts w:ascii="Hiragino Sans GB" w:hAnsi="Hiragino Sans GB" w:eastAsia="Hiragino Sans GB"/>
          <w:b/>
          <w:i w:val="0"/>
        </w:rPr>
        <w:t>4. 纪要审批子状态</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状态</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说明</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待纪要</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尚未形成纪要草稿。</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草稿</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已上传材料、解析或编辑，但内容尚未正式生效。</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流程中</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纪要草稿已提交审批。</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驳回草稿</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审批未通过，可继续编辑后重新提交。</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已归档</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审批通过，纪要正式生效，会议主状态可以继续推进。</w:t>
            </w:r>
          </w:p>
        </w:tc>
      </w:tr>
    </w:tbl>
    <w:p/>
    <w:p>
      <w:pPr>
        <w:ind w:left="173"/>
        <w:shd w:fill="F1F5F9"/>
      </w:pPr>
      <w:r>
        <w:rPr>
          <w:rFonts w:ascii="Hiragino Sans GB" w:hAnsi="Hiragino Sans GB" w:eastAsia="Hiragino Sans GB"/>
          <w:b/>
          <w:i w:val="0"/>
        </w:rPr>
        <w:t>查看顺序：任务详情先看任务主状态；协作任务再看“待签收”是否已处理；会议详情同时看会议主状态和纪要审批子状态。</w:t>
      </w:r>
    </w:p>
    <w:p>
      <w:pPr>
        <w:pStyle w:val="Heading1"/>
      </w:pPr>
      <w:r>
        <w:t>第二章 会前准备</w:t>
      </w:r>
    </w:p>
    <w:p>
      <w:pPr>
        <w:pStyle w:val="Heading2"/>
      </w:pPr>
      <w:r>
        <w:t>一、业务说明</w:t>
      </w:r>
    </w:p>
    <w:p>
      <w:r>
        <w:rPr>
          <w:rFonts w:ascii="Hiragino Sans GB" w:hAnsi="Hiragino Sans GB" w:eastAsia="Hiragino Sans GB"/>
          <w:b w:val="0"/>
          <w:i w:val="0"/>
        </w:rPr>
        <w:t>任务管理中的大量任务来源于会议交办，因此会前准备不是独立动作，而是后续会议转任务的前提。</w:t>
      </w:r>
    </w:p>
    <w:p>
      <w:r>
        <w:rPr>
          <w:rFonts w:ascii="Hiragino Sans GB" w:hAnsi="Hiragino Sans GB" w:eastAsia="Hiragino Sans GB"/>
          <w:b w:val="0"/>
          <w:i w:val="0"/>
        </w:rPr>
        <w:t>当前会议创建主要有两种业务方式：一是在丰匠 PMS 会议模块直接预约会议，并可同步到丰声 Next；二是在丰声 Next 先预约会议，再回到 PMS 做会议补录并拉取会议与纪要相关内容。</w:t>
      </w:r>
    </w:p>
    <w:p>
      <w:pPr>
        <w:pStyle w:val="Heading2"/>
      </w:pPr>
      <w:r>
        <w:t>二、会前流程</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方式</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办理说明</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PMS 直接预约</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在丰匠 PMS 会议模块点击预约会议，填写会议信息并勾选同步丰声 Next，会议日程会推送给参会人员，参会人员可在丰声 Next 入会。</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丰声 Next 预约后补录</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先在丰声 Next 预约会议，再回到 PMS 会议模块点击补录会议，拉取丰声 Next 的会议与纪要相关内容。</w:t>
            </w:r>
          </w:p>
        </w:tc>
      </w:tr>
    </w:tbl>
    <w:p/>
    <w:p>
      <w:pPr>
        <w:pStyle w:val="ListNumber"/>
      </w:pPr>
      <w:r>
        <w:rPr>
          <w:rFonts w:ascii="Hiragino Sans GB" w:hAnsi="Hiragino Sans GB" w:eastAsia="Hiragino Sans GB"/>
          <w:b w:val="0"/>
          <w:i w:val="0"/>
        </w:rPr>
        <w:t>进入丰匠 PMS 的会议模块。</w:t>
      </w:r>
    </w:p>
    <w:p>
      <w:pPr>
        <w:pStyle w:val="ListNumber"/>
      </w:pPr>
      <w:r>
        <w:rPr>
          <w:rFonts w:ascii="Hiragino Sans GB" w:hAnsi="Hiragino Sans GB" w:eastAsia="Hiragino Sans GB"/>
          <w:b w:val="0"/>
          <w:i w:val="0"/>
        </w:rPr>
        <w:t>根据实际场景选择 新增会议 或 拉取丰声Next会议。</w:t>
      </w:r>
    </w:p>
    <w:p>
      <w:pPr>
        <w:pStyle w:val="ListNumber"/>
      </w:pPr>
      <w:r>
        <w:rPr>
          <w:rFonts w:ascii="Hiragino Sans GB" w:hAnsi="Hiragino Sans GB" w:eastAsia="Hiragino Sans GB"/>
          <w:b w:val="0"/>
          <w:i w:val="0"/>
        </w:rPr>
        <w:t>核对会议主题、编号、创建人、开始时间、会议时长、参会人和议题等关键信息。</w:t>
      </w:r>
    </w:p>
    <w:p>
      <w:pPr>
        <w:pStyle w:val="ListNumber"/>
      </w:pPr>
      <w:r>
        <w:rPr>
          <w:rFonts w:ascii="Hiragino Sans GB" w:hAnsi="Hiragino Sans GB" w:eastAsia="Hiragino Sans GB"/>
          <w:b w:val="0"/>
          <w:i w:val="0"/>
        </w:rPr>
        <w:t>确认会议创建完成后，可继续进入会议详情办理纪要上传、纪要拉取和后续任务承接。</w:t>
      </w:r>
    </w:p>
    <w:p>
      <w:pPr>
        <w:pStyle w:val="Heading2"/>
      </w:pPr>
      <w:r>
        <w:t>三、新建会议</w:t>
      </w:r>
    </w:p>
    <w:p>
      <w:r>
        <w:rPr>
          <w:rFonts w:ascii="Hiragino Sans GB" w:hAnsi="Hiragino Sans GB" w:eastAsia="Hiragino Sans GB"/>
          <w:b w:val="0"/>
          <w:i w:val="0"/>
        </w:rPr>
        <w:t>“我的会议”面向个人视角呈现待参加、已完成、已补录和已同步会议，是进入会议详情和后续纪要整理的主要入口。</w:t>
      </w:r>
    </w:p>
    <w:p>
      <w:r>
        <w:rPr>
          <w:rFonts w:ascii="Hiragino Sans GB" w:hAnsi="Hiragino Sans GB" w:eastAsia="Hiragino Sans GB"/>
          <w:b w:val="0"/>
          <w:i w:val="0"/>
        </w:rPr>
        <w:t>在丰匠 PMS 直接预约会议时，入口为会议模块中的 新增会议。填写会议主题、会议相关信息并选择参会人员后，左下角可勾选 同步丰声 Next。</w:t>
      </w:r>
    </w:p>
    <w:p>
      <w:pPr>
        <w:pStyle w:val="ListNumber"/>
      </w:pPr>
      <w:r>
        <w:rPr>
          <w:rFonts w:ascii="Hiragino Sans GB" w:hAnsi="Hiragino Sans GB" w:eastAsia="Hiragino Sans GB"/>
          <w:b w:val="0"/>
          <w:i w:val="0"/>
        </w:rPr>
        <w:t>点击 新增会议。</w:t>
      </w:r>
    </w:p>
    <w:p>
      <w:pPr>
        <w:pStyle w:val="ListNumber"/>
      </w:pPr>
      <w:r>
        <w:rPr>
          <w:rFonts w:ascii="Hiragino Sans GB" w:hAnsi="Hiragino Sans GB" w:eastAsia="Hiragino Sans GB"/>
          <w:b w:val="0"/>
          <w:i w:val="0"/>
        </w:rPr>
        <w:t>填写会议主题、会议信息、时间、参会人员等内容。</w:t>
      </w:r>
    </w:p>
    <w:p>
      <w:pPr>
        <w:pStyle w:val="ListNumber"/>
      </w:pPr>
      <w:r>
        <w:rPr>
          <w:rFonts w:ascii="Hiragino Sans GB" w:hAnsi="Hiragino Sans GB" w:eastAsia="Hiragino Sans GB"/>
          <w:b w:val="0"/>
          <w:i w:val="0"/>
        </w:rPr>
        <w:t>勾选左下角的 同步丰声 Next。</w:t>
      </w:r>
    </w:p>
    <w:p>
      <w:pPr>
        <w:pStyle w:val="ListNumber"/>
      </w:pPr>
      <w:r>
        <w:rPr>
          <w:rFonts w:ascii="Hiragino Sans GB" w:hAnsi="Hiragino Sans GB" w:eastAsia="Hiragino Sans GB"/>
          <w:b w:val="0"/>
          <w:i w:val="0"/>
        </w:rPr>
        <w:t>点击确定后，会议日程相关内容会推送给对应参会人员。</w:t>
      </w:r>
    </w:p>
    <w:p>
      <w:pPr>
        <w:pStyle w:val="ListNumber"/>
      </w:pPr>
      <w:r>
        <w:rPr>
          <w:rFonts w:ascii="Hiragino Sans GB" w:hAnsi="Hiragino Sans GB" w:eastAsia="Hiragino Sans GB"/>
          <w:b w:val="0"/>
          <w:i w:val="0"/>
        </w:rPr>
        <w:t>参会人员可在丰声 Next 侧查看日程并直接入会。</w:t>
      </w:r>
    </w:p>
    <w:p>
      <w:r>
        <w:rPr>
          <w:rFonts w:ascii="Hiragino Sans GB" w:hAnsi="Hiragino Sans GB" w:eastAsia="Hiragino Sans GB"/>
          <w:b w:val="0"/>
          <w:i w:val="0"/>
        </w:rPr>
        <w:t>会议创建完成后，可直接进入会议详情页进行纪要上传；如需拉取纪要，则按补录会议场景中的拉取方式处理。</w:t>
      </w:r>
    </w:p>
    <w:p>
      <w:pPr>
        <w:ind w:left="173"/>
        <w:shd w:fill="F1F5F9"/>
      </w:pPr>
      <w:r>
        <w:rPr>
          <w:rFonts w:ascii="Hiragino Sans GB" w:hAnsi="Hiragino Sans GB" w:eastAsia="Hiragino Sans GB"/>
          <w:b/>
          <w:i w:val="0"/>
        </w:rPr>
        <w:t>完成标志：会议出现在“我的会议”列表中，参会人员能够在丰声 Next 看到日程；进入会议详情后，可以继续上传或拉取纪要。</w:t>
      </w:r>
    </w:p>
    <w:p>
      <w:pPr>
        <w:jc w:val="center"/>
      </w:pPr>
      <w:r>
        <w:drawing>
          <wp:inline xmlns:a="http://schemas.openxmlformats.org/drawingml/2006/main" xmlns:pic="http://schemas.openxmlformats.org/drawingml/2006/picture">
            <wp:extent cx="5715000" cy="3230724"/>
            <wp:docPr id="2" name="Picture 2"/>
            <wp:cNvGraphicFramePr>
              <a:graphicFrameLocks noChangeAspect="1"/>
            </wp:cNvGraphicFramePr>
            <a:graphic>
              <a:graphicData uri="http://schemas.openxmlformats.org/drawingml/2006/picture">
                <pic:pic>
                  <pic:nvPicPr>
                    <pic:cNvPr id="0" name="1.png"/>
                    <pic:cNvPicPr/>
                  </pic:nvPicPr>
                  <pic:blipFill>
                    <a:blip r:embed="rId10"/>
                    <a:stretch>
                      <a:fillRect/>
                    </a:stretch>
                  </pic:blipFill>
                  <pic:spPr>
                    <a:xfrm>
                      <a:off x="0" y="0"/>
                      <a:ext cx="5715000" cy="3230724"/>
                    </a:xfrm>
                    <a:prstGeom prst="rect"/>
                  </pic:spPr>
                </pic:pic>
              </a:graphicData>
            </a:graphic>
          </wp:inline>
        </w:drawing>
      </w:r>
    </w:p>
    <w:p>
      <w:pPr>
        <w:pStyle w:val="Heading2"/>
      </w:pPr>
      <w:r>
        <w:t>四、会议同步</w:t>
      </w:r>
    </w:p>
    <w:p>
      <w:r>
        <w:rPr>
          <w:rFonts w:ascii="Hiragino Sans GB" w:hAnsi="Hiragino Sans GB" w:eastAsia="Hiragino Sans GB"/>
          <w:b w:val="0"/>
          <w:i w:val="0"/>
        </w:rPr>
        <w:t>如果会议先在丰声 Next 预约，可在 PMS 会议模块通过 拉取丰声Next会议 拉取该会议。</w:t>
      </w:r>
    </w:p>
    <w:p>
      <w:pPr>
        <w:pStyle w:val="ListNumber"/>
      </w:pPr>
      <w:r>
        <w:rPr>
          <w:rFonts w:ascii="Hiragino Sans GB" w:hAnsi="Hiragino Sans GB" w:eastAsia="Hiragino Sans GB"/>
          <w:b w:val="0"/>
          <w:i w:val="0"/>
        </w:rPr>
        <w:t>进入会议模块中的 新增会议 入口。</w:t>
      </w:r>
    </w:p>
    <w:p>
      <w:pPr>
        <w:pStyle w:val="ListNumber"/>
      </w:pPr>
      <w:r>
        <w:rPr>
          <w:rFonts w:ascii="Hiragino Sans GB" w:hAnsi="Hiragino Sans GB" w:eastAsia="Hiragino Sans GB"/>
          <w:b w:val="0"/>
          <w:i w:val="0"/>
        </w:rPr>
        <w:t>点击 拉取丰声Next会议。</w:t>
      </w:r>
    </w:p>
    <w:p>
      <w:pPr>
        <w:pStyle w:val="ListNumber"/>
      </w:pPr>
      <w:r>
        <w:rPr>
          <w:rFonts w:ascii="Hiragino Sans GB" w:hAnsi="Hiragino Sans GB" w:eastAsia="Hiragino Sans GB"/>
          <w:b w:val="0"/>
          <w:i w:val="0"/>
        </w:rPr>
        <w:t>选择时间范围及发起人后查询会议，时间范围尽量不要超过 1 周，以保证查询性能。</w:t>
      </w:r>
    </w:p>
    <w:p>
      <w:r>
        <w:rPr>
          <w:rFonts w:ascii="Hiragino Sans GB" w:hAnsi="Hiragino Sans GB" w:eastAsia="Hiragino Sans GB"/>
          <w:b w:val="0"/>
          <w:i w:val="0"/>
        </w:rPr>
        <w:t>当前已知可导入的会议基础信息包括：会议主题、会议编号、创建人、开始时间、会议时长等。</w:t>
      </w:r>
    </w:p>
    <w:p>
      <w:r>
        <w:rPr>
          <w:rFonts w:ascii="Hiragino Sans GB" w:hAnsi="Hiragino Sans GB" w:eastAsia="Hiragino Sans GB"/>
          <w:b w:val="0"/>
          <w:i w:val="0"/>
        </w:rPr>
        <w:t>当前已知可拉取的纪要与材料内容包括：发言原文、纪要附件、录音录屏文件、丰声 Next AI 纪要，以及形成的待办任务。</w:t>
      </w:r>
    </w:p>
    <w:p>
      <w:pPr>
        <w:ind w:left="173"/>
        <w:shd w:fill="F1F5F9"/>
      </w:pPr>
      <w:r>
        <w:rPr>
          <w:rFonts w:ascii="Hiragino Sans GB" w:hAnsi="Hiragino Sans GB" w:eastAsia="Hiragino Sans GB"/>
          <w:b/>
          <w:i w:val="0"/>
        </w:rPr>
        <w:t>完成标志：补录后的会议详情中能看到导入的会议基础信息，并能查看已拉取的纪要、材料或待办内容。</w:t>
      </w:r>
    </w:p>
    <w:p>
      <w:pPr>
        <w:jc w:val="center"/>
      </w:pPr>
      <w:r>
        <w:drawing>
          <wp:inline xmlns:a="http://schemas.openxmlformats.org/drawingml/2006/main" xmlns:pic="http://schemas.openxmlformats.org/drawingml/2006/picture">
            <wp:extent cx="5715000" cy="3230724"/>
            <wp:docPr id="3" name="Picture 3"/>
            <wp:cNvGraphicFramePr>
              <a:graphicFrameLocks noChangeAspect="1"/>
            </wp:cNvGraphicFramePr>
            <a:graphic>
              <a:graphicData uri="http://schemas.openxmlformats.org/drawingml/2006/picture">
                <pic:pic>
                  <pic:nvPicPr>
                    <pic:cNvPr id="0" name="2.png"/>
                    <pic:cNvPicPr/>
                  </pic:nvPicPr>
                  <pic:blipFill>
                    <a:blip r:embed="rId11"/>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4" name="Picture 4"/>
            <wp:cNvGraphicFramePr>
              <a:graphicFrameLocks noChangeAspect="1"/>
            </wp:cNvGraphicFramePr>
            <a:graphic>
              <a:graphicData uri="http://schemas.openxmlformats.org/drawingml/2006/picture">
                <pic:pic>
                  <pic:nvPicPr>
                    <pic:cNvPr id="0" name="3.png"/>
                    <pic:cNvPicPr/>
                  </pic:nvPicPr>
                  <pic:blipFill>
                    <a:blip r:embed="rId12"/>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5" name="Picture 5"/>
            <wp:cNvGraphicFramePr>
              <a:graphicFrameLocks noChangeAspect="1"/>
            </wp:cNvGraphicFramePr>
            <a:graphic>
              <a:graphicData uri="http://schemas.openxmlformats.org/drawingml/2006/picture">
                <pic:pic>
                  <pic:nvPicPr>
                    <pic:cNvPr id="0" name="4.png"/>
                    <pic:cNvPicPr/>
                  </pic:nvPicPr>
                  <pic:blipFill>
                    <a:blip r:embed="rId13"/>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6" name="Picture 6"/>
            <wp:cNvGraphicFramePr>
              <a:graphicFrameLocks noChangeAspect="1"/>
            </wp:cNvGraphicFramePr>
            <a:graphic>
              <a:graphicData uri="http://schemas.openxmlformats.org/drawingml/2006/picture">
                <pic:pic>
                  <pic:nvPicPr>
                    <pic:cNvPr id="0" name="5.png"/>
                    <pic:cNvPicPr/>
                  </pic:nvPicPr>
                  <pic:blipFill>
                    <a:blip r:embed="rId14"/>
                    <a:stretch>
                      <a:fillRect/>
                    </a:stretch>
                  </pic:blipFill>
                  <pic:spPr>
                    <a:xfrm>
                      <a:off x="0" y="0"/>
                      <a:ext cx="5715000" cy="3230724"/>
                    </a:xfrm>
                    <a:prstGeom prst="rect"/>
                  </pic:spPr>
                </pic:pic>
              </a:graphicData>
            </a:graphic>
          </wp:inline>
        </w:drawing>
      </w:r>
    </w:p>
    <w:p>
      <w:pPr>
        <w:pStyle w:val="Heading2"/>
      </w:pPr>
      <w:r>
        <w:t>五、会议台账</w:t>
      </w:r>
    </w:p>
    <w:p>
      <w:r>
        <w:rPr>
          <w:rFonts w:ascii="Hiragino Sans GB" w:hAnsi="Hiragino Sans GB" w:eastAsia="Hiragino Sans GB"/>
          <w:b w:val="0"/>
          <w:i w:val="0"/>
        </w:rPr>
        <w:t>“会议台账”面向管理视角统一查看会议主题、会议状态、纪要状态、主持部门、会议来源和关联任务入口，适合做过程跟踪和会后追溯。</w:t>
      </w:r>
    </w:p>
    <w:p>
      <w:r>
        <w:rPr>
          <w:rFonts w:ascii="Hiragino Sans GB" w:hAnsi="Hiragino Sans GB" w:eastAsia="Hiragino Sans GB"/>
          <w:b w:val="0"/>
          <w:i w:val="0"/>
        </w:rPr>
        <w:t>当需要核查某次会议是否已形成纪要、是否已转任务、是否仍缺反馈时，应优先从会议台账进入查看。</w:t>
      </w:r>
    </w:p>
    <w:p>
      <w:pPr>
        <w:pStyle w:val="Heading1"/>
      </w:pPr>
      <w:r>
        <w:t>第三章 会议转任务</w:t>
      </w:r>
    </w:p>
    <w:p>
      <w:pPr>
        <w:pStyle w:val="Heading2"/>
      </w:pPr>
      <w:r>
        <w:t>一、业务说明</w:t>
      </w:r>
    </w:p>
    <w:p>
      <w:r>
        <w:rPr>
          <w:rFonts w:ascii="Hiragino Sans GB" w:hAnsi="Hiragino Sans GB" w:eastAsia="Hiragino Sans GB"/>
          <w:b w:val="0"/>
          <w:i w:val="0"/>
        </w:rPr>
        <w:t>会后整理阶段的目标不是单纯保存纪要，而是把会议材料转化为可追踪、可分派、可办结的任务对象。</w:t>
      </w:r>
    </w:p>
    <w:p>
      <w:r>
        <w:rPr>
          <w:rFonts w:ascii="Hiragino Sans GB" w:hAnsi="Hiragino Sans GB" w:eastAsia="Hiragino Sans GB"/>
          <w:b w:val="0"/>
          <w:i w:val="0"/>
        </w:rPr>
        <w:t>本阶段通常包含会后材料上传、纪要整理、AI 解析待办、指导意见识别、任务匹配以及新建或合并任务几个动作。</w:t>
      </w:r>
    </w:p>
    <w:p>
      <w:pPr>
        <w:pStyle w:val="Heading2"/>
      </w:pPr>
      <w:r>
        <w:t>二、会后整理</w:t>
      </w:r>
    </w:p>
    <w:p>
      <w:pPr>
        <w:pStyle w:val="ListNumber"/>
      </w:pPr>
      <w:r>
        <w:rPr>
          <w:rFonts w:ascii="Hiragino Sans GB" w:hAnsi="Hiragino Sans GB" w:eastAsia="Hiragino Sans GB"/>
          <w:b w:val="0"/>
          <w:i w:val="0"/>
        </w:rPr>
        <w:t>如会议在 PMS 直接预约，创建完成后可直接进入会议详情页上传会议纪要、转写文本、录音录屏和相关附件。</w:t>
      </w:r>
    </w:p>
    <w:p>
      <w:pPr>
        <w:pStyle w:val="ListNumber"/>
      </w:pPr>
      <w:r>
        <w:rPr>
          <w:rFonts w:ascii="Hiragino Sans GB" w:hAnsi="Hiragino Sans GB" w:eastAsia="Hiragino Sans GB"/>
          <w:b w:val="0"/>
          <w:i w:val="0"/>
        </w:rPr>
        <w:t>如会议通过丰声 Next 预约后补录，可在 PMS 中拉取发言原文、纪要附件、录音录屏文件、丰声 Next AI 纪要以及形成的待办任务。</w:t>
      </w:r>
    </w:p>
    <w:p>
      <w:pPr>
        <w:pStyle w:val="ListNumber"/>
      </w:pPr>
      <w:r>
        <w:rPr>
          <w:rFonts w:ascii="Hiragino Sans GB" w:hAnsi="Hiragino Sans GB" w:eastAsia="Hiragino Sans GB"/>
          <w:b w:val="0"/>
          <w:i w:val="0"/>
        </w:rPr>
        <w:t>核对议题、汇报内容、责任人和关键时间要求，确保纪要内容足以支撑后续任务拆解。</w:t>
      </w:r>
    </w:p>
    <w:p>
      <w:pPr>
        <w:pStyle w:val="ListNumber"/>
      </w:pPr>
      <w:r>
        <w:rPr>
          <w:rFonts w:ascii="Hiragino Sans GB" w:hAnsi="Hiragino Sans GB" w:eastAsia="Hiragino Sans GB"/>
          <w:b w:val="0"/>
          <w:i w:val="0"/>
        </w:rPr>
        <w:t>如会议内容较长，建议先整理结构化纪要，再发起 AI 解析，提升待办识别质量。</w:t>
      </w:r>
    </w:p>
    <w:p>
      <w:pPr>
        <w:ind w:left="173"/>
        <w:shd w:fill="F1F5F9"/>
      </w:pPr>
      <w:r>
        <w:rPr>
          <w:rFonts w:ascii="Hiragino Sans GB" w:hAnsi="Hiragino Sans GB" w:eastAsia="Hiragino Sans GB"/>
          <w:b/>
          <w:i w:val="0"/>
        </w:rPr>
        <w:t>完成标志：会议详情中已保存可阅读的纪要或材料，且责任人、完成时间和关键要求能够被识别或人工确认。</w:t>
      </w:r>
    </w:p>
    <w:p>
      <w:pPr>
        <w:jc w:val="center"/>
      </w:pPr>
      <w:r>
        <w:drawing>
          <wp:inline xmlns:a="http://schemas.openxmlformats.org/drawingml/2006/main" xmlns:pic="http://schemas.openxmlformats.org/drawingml/2006/picture">
            <wp:extent cx="5715000" cy="3230724"/>
            <wp:docPr id="7" name="Picture 7"/>
            <wp:cNvGraphicFramePr>
              <a:graphicFrameLocks noChangeAspect="1"/>
            </wp:cNvGraphicFramePr>
            <a:graphic>
              <a:graphicData uri="http://schemas.openxmlformats.org/drawingml/2006/picture">
                <pic:pic>
                  <pic:nvPicPr>
                    <pic:cNvPr id="0" name="新增1.png"/>
                    <pic:cNvPicPr/>
                  </pic:nvPicPr>
                  <pic:blipFill>
                    <a:blip r:embed="rId15"/>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8" name="Picture 8"/>
            <wp:cNvGraphicFramePr>
              <a:graphicFrameLocks noChangeAspect="1"/>
            </wp:cNvGraphicFramePr>
            <a:graphic>
              <a:graphicData uri="http://schemas.openxmlformats.org/drawingml/2006/picture">
                <pic:pic>
                  <pic:nvPicPr>
                    <pic:cNvPr id="0" name="新增2.png"/>
                    <pic:cNvPicPr/>
                  </pic:nvPicPr>
                  <pic:blipFill>
                    <a:blip r:embed="rId16"/>
                    <a:stretch>
                      <a:fillRect/>
                    </a:stretch>
                  </pic:blipFill>
                  <pic:spPr>
                    <a:xfrm>
                      <a:off x="0" y="0"/>
                      <a:ext cx="5715000" cy="3230724"/>
                    </a:xfrm>
                    <a:prstGeom prst="rect"/>
                  </pic:spPr>
                </pic:pic>
              </a:graphicData>
            </a:graphic>
          </wp:inline>
        </w:drawing>
      </w:r>
    </w:p>
    <w:p>
      <w:pPr>
        <w:pStyle w:val="Heading2"/>
      </w:pPr>
      <w:r>
        <w:t>三、待办匹配</w:t>
      </w:r>
    </w:p>
    <w:p>
      <w:r>
        <w:rPr>
          <w:rFonts w:ascii="Hiragino Sans GB" w:hAnsi="Hiragino Sans GB" w:eastAsia="Hiragino Sans GB"/>
          <w:b w:val="0"/>
          <w:i w:val="0"/>
        </w:rPr>
        <w:t>系统可基于会议材料识别会议待办，并尝试匹配是否已有相关任务。</w:t>
      </w:r>
    </w:p>
    <w:p>
      <w:r>
        <w:rPr>
          <w:rFonts w:ascii="Hiragino Sans GB" w:hAnsi="Hiragino Sans GB" w:eastAsia="Hiragino Sans GB"/>
          <w:b w:val="0"/>
          <w:i w:val="0"/>
        </w:rPr>
        <w:t>会议生成任务时，通常会分为两类：一类是系统中已经存在、在会议上被二次提及的任务；另一类是会议上新增形成的决议任务。</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任务类型</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提交前处理要求</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新增决议任务</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补充完善任务信息后，可按新任务流程直接发起对应流程。</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已存在任务二次提及</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提交前需先选择合并或替换，明确当前会议待办与目标任务的关系及基准口径。</w:t>
            </w:r>
          </w:p>
        </w:tc>
      </w:tr>
    </w:tbl>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处理方式</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适用场景</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新建任务</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当前会议待办没有现成任务承接，需要从头创建任务。</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合并任务</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当前任务与目标任务进行关联，并以目标任务为基准；适用于会议中再次提及已有任务，希望继续沿用目标任务推进的场景。</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替换任务</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当前任务与目标任务进行关联，并以当前任务为基准更新目标任务；适用于会议形成了新的决议口径，需要用当前任务内容覆盖目标任务的场景。</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关联已有任务</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无需重建任务，但需要保留会议与任务的来源追溯关系。</w:t>
            </w:r>
          </w:p>
        </w:tc>
      </w:tr>
    </w:tbl>
    <w:p/>
    <w:p>
      <w:r>
        <w:rPr>
          <w:rFonts w:ascii="Hiragino Sans GB" w:hAnsi="Hiragino Sans GB" w:eastAsia="Hiragino Sans GB"/>
          <w:b w:val="0"/>
          <w:i w:val="0"/>
        </w:rPr>
        <w:t>因此，会议待办在提交前应先完成任务类型判断：新增决议任务走新建与补充信息流程；已存在任务则必须先完成合并或替换选择，再继续提交。</w:t>
      </w:r>
    </w:p>
    <w:p>
      <w:r>
        <w:rPr>
          <w:rFonts w:ascii="Hiragino Sans GB" w:hAnsi="Hiragino Sans GB" w:eastAsia="Hiragino Sans GB"/>
          <w:b w:val="0"/>
          <w:i w:val="0"/>
        </w:rPr>
        <w:t>在会议详情的“关联任务”区域，还需要补充执行人、计划开始时间、截止时间、匹配任务和处理方式；选择合并或替换后，应继续确认上级任务和关联关系是否正确。</w:t>
      </w:r>
    </w:p>
    <w:p>
      <w:pPr>
        <w:ind w:left="173"/>
        <w:shd w:fill="F1F5F9"/>
      </w:pPr>
      <w:r>
        <w:rPr>
          <w:rFonts w:ascii="Hiragino Sans GB" w:hAnsi="Hiragino Sans GB" w:eastAsia="Hiragino Sans GB"/>
          <w:b/>
          <w:i w:val="0"/>
        </w:rPr>
        <w:t>判断方法：没有可承接的同一事项，选“新建任务”；已有任务且继续沿用原任务口径，选“合并”；本次会议形成的新口径需要覆盖原任务，选“替换”。</w:t>
      </w:r>
    </w:p>
    <w:p>
      <w:pPr>
        <w:jc w:val="center"/>
      </w:pPr>
      <w:r>
        <w:drawing>
          <wp:inline xmlns:a="http://schemas.openxmlformats.org/drawingml/2006/main" xmlns:pic="http://schemas.openxmlformats.org/drawingml/2006/picture">
            <wp:extent cx="5715000" cy="3230724"/>
            <wp:docPr id="9" name="Picture 9"/>
            <wp:cNvGraphicFramePr>
              <a:graphicFrameLocks noChangeAspect="1"/>
            </wp:cNvGraphicFramePr>
            <a:graphic>
              <a:graphicData uri="http://schemas.openxmlformats.org/drawingml/2006/picture">
                <pic:pic>
                  <pic:nvPicPr>
                    <pic:cNvPr id="0" name="新增1.png"/>
                    <pic:cNvPicPr/>
                  </pic:nvPicPr>
                  <pic:blipFill>
                    <a:blip r:embed="rId15"/>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10" name="Picture 10"/>
            <wp:cNvGraphicFramePr>
              <a:graphicFrameLocks noChangeAspect="1"/>
            </wp:cNvGraphicFramePr>
            <a:graphic>
              <a:graphicData uri="http://schemas.openxmlformats.org/drawingml/2006/picture">
                <pic:pic>
                  <pic:nvPicPr>
                    <pic:cNvPr id="0" name="新增2.png"/>
                    <pic:cNvPicPr/>
                  </pic:nvPicPr>
                  <pic:blipFill>
                    <a:blip r:embed="rId16"/>
                    <a:stretch>
                      <a:fillRect/>
                    </a:stretch>
                  </pic:blipFill>
                  <pic:spPr>
                    <a:xfrm>
                      <a:off x="0" y="0"/>
                      <a:ext cx="5715000" cy="3230724"/>
                    </a:xfrm>
                    <a:prstGeom prst="rect"/>
                  </pic:spPr>
                </pic:pic>
              </a:graphicData>
            </a:graphic>
          </wp:inline>
        </w:drawing>
      </w:r>
    </w:p>
    <w:p>
      <w:pPr>
        <w:pStyle w:val="Heading2"/>
      </w:pPr>
      <w:r>
        <w:t>四、上级匹配</w:t>
      </w:r>
    </w:p>
    <w:p>
      <w:r>
        <w:rPr>
          <w:rFonts w:ascii="Hiragino Sans GB" w:hAnsi="Hiragino Sans GB" w:eastAsia="Hiragino Sans GB"/>
          <w:b w:val="0"/>
          <w:i w:val="0"/>
        </w:rPr>
        <w:t>对会议待办转任务前，建议同步判断是否需要挂接到某个上级任务，从而在任务详情和台账脑图中保留拆解关系。</w:t>
      </w:r>
    </w:p>
    <w:p>
      <w:pPr>
        <w:pStyle w:val="ListBullet"/>
      </w:pPr>
      <w:r>
        <w:rPr>
          <w:rFonts w:ascii="Hiragino Sans GB" w:hAnsi="Hiragino Sans GB" w:eastAsia="Hiragino Sans GB"/>
          <w:b w:val="0"/>
          <w:i w:val="0"/>
        </w:rPr>
        <w:t>如果会议事项是某个年度重点任务的子动作，应优先选择上级任务。</w:t>
      </w:r>
    </w:p>
    <w:p>
      <w:pPr>
        <w:pStyle w:val="ListBullet"/>
      </w:pPr>
      <w:r>
        <w:rPr>
          <w:rFonts w:ascii="Hiragino Sans GB" w:hAnsi="Hiragino Sans GB" w:eastAsia="Hiragino Sans GB"/>
          <w:b w:val="0"/>
          <w:i w:val="0"/>
        </w:rPr>
        <w:t>如果只是普通独立事项，可不建立父子关系，避免台账结构过度复杂。</w:t>
      </w:r>
    </w:p>
    <w:p>
      <w:r>
        <w:rPr>
          <w:rFonts w:ascii="Hiragino Sans GB" w:hAnsi="Hiragino Sans GB" w:eastAsia="Hiragino Sans GB"/>
          <w:b w:val="0"/>
          <w:i w:val="0"/>
        </w:rPr>
        <w:t>在关联任务表格中点击“选择上级任务”后，系统打开上级任务弹窗；可按任务标题、状态、来源和组织筛选，再选择目标任务并确认。</w:t>
      </w:r>
    </w:p>
    <w:p>
      <w:pPr>
        <w:ind w:left="173"/>
        <w:shd w:fill="F1F5F9"/>
      </w:pPr>
      <w:r>
        <w:rPr>
          <w:rFonts w:ascii="Hiragino Sans GB" w:hAnsi="Hiragino Sans GB" w:eastAsia="Hiragino Sans GB"/>
          <w:b/>
          <w:i w:val="0"/>
        </w:rPr>
        <w:t>完成标志：任务详情中能看到正确的上级任务；如果是独立事项，则确认没有误挂到其他任务下。</w:t>
      </w:r>
    </w:p>
    <w:p>
      <w:pPr>
        <w:jc w:val="center"/>
      </w:pPr>
      <w:r>
        <w:drawing>
          <wp:inline xmlns:a="http://schemas.openxmlformats.org/drawingml/2006/main" xmlns:pic="http://schemas.openxmlformats.org/drawingml/2006/picture">
            <wp:extent cx="5715000" cy="3230724"/>
            <wp:docPr id="11" name="Picture 11"/>
            <wp:cNvGraphicFramePr>
              <a:graphicFrameLocks noChangeAspect="1"/>
            </wp:cNvGraphicFramePr>
            <a:graphic>
              <a:graphicData uri="http://schemas.openxmlformats.org/drawingml/2006/picture">
                <pic:pic>
                  <pic:nvPicPr>
                    <pic:cNvPr id="0" name="勾选上级任务.png"/>
                    <pic:cNvPicPr/>
                  </pic:nvPicPr>
                  <pic:blipFill>
                    <a:blip r:embed="rId17"/>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12" name="Picture 12"/>
            <wp:cNvGraphicFramePr>
              <a:graphicFrameLocks noChangeAspect="1"/>
            </wp:cNvGraphicFramePr>
            <a:graphic>
              <a:graphicData uri="http://schemas.openxmlformats.org/drawingml/2006/picture">
                <pic:pic>
                  <pic:nvPicPr>
                    <pic:cNvPr id="0" name="上级任务弹窗.png"/>
                    <pic:cNvPicPr/>
                  </pic:nvPicPr>
                  <pic:blipFill>
                    <a:blip r:embed="rId18"/>
                    <a:stretch>
                      <a:fillRect/>
                    </a:stretch>
                  </pic:blipFill>
                  <pic:spPr>
                    <a:xfrm>
                      <a:off x="0" y="0"/>
                      <a:ext cx="5715000" cy="3230724"/>
                    </a:xfrm>
                    <a:prstGeom prst="rect"/>
                  </pic:spPr>
                </pic:pic>
              </a:graphicData>
            </a:graphic>
          </wp:inline>
        </w:drawing>
      </w:r>
    </w:p>
    <w:p>
      <w:pPr>
        <w:pStyle w:val="Heading2"/>
      </w:pPr>
      <w:r>
        <w:t>五、意见确认</w:t>
      </w:r>
    </w:p>
    <w:p>
      <w:pPr>
        <w:ind w:left="173"/>
        <w:shd w:fill="F1F5F9"/>
      </w:pPr>
      <w:r>
        <w:rPr>
          <w:rFonts w:ascii="Hiragino Sans GB" w:hAnsi="Hiragino Sans GB" w:eastAsia="Hiragino Sans GB"/>
          <w:b/>
          <w:i w:val="0"/>
        </w:rPr>
        <w:t>规划说明：本节描述的是尚未上线的规划能力，当前版本暂不支持以下系统操作，不作为现行操作步骤使用。功能上线后再补充真实页面截图和最终操作入口。</w:t>
      </w:r>
    </w:p>
    <w:p>
      <w:r>
        <w:rPr>
          <w:rFonts w:ascii="Hiragino Sans GB" w:hAnsi="Hiragino Sans GB" w:eastAsia="Hiragino Sans GB"/>
          <w:b w:val="0"/>
          <w:i w:val="0"/>
        </w:rPr>
        <w:t>规划上，系统将支持从会议纪要、发言原文或 AI 纪要中识别领导指导意见；识别结果不会自动生效，仍需要人工确认。</w:t>
      </w:r>
    </w:p>
    <w:p>
      <w:pPr>
        <w:pStyle w:val="ListNumber"/>
      </w:pPr>
      <w:r>
        <w:rPr>
          <w:rFonts w:ascii="Hiragino Sans GB" w:hAnsi="Hiragino Sans GB" w:eastAsia="Hiragino Sans GB"/>
          <w:b w:val="0"/>
          <w:i w:val="0"/>
        </w:rPr>
        <w:t>查看 AI 识别出的指导意见内容、发言领导、来源片段和建议关联任务。</w:t>
      </w:r>
    </w:p>
    <w:p>
      <w:pPr>
        <w:pStyle w:val="ListNumber"/>
      </w:pPr>
      <w:r>
        <w:rPr>
          <w:rFonts w:ascii="Hiragino Sans GB" w:hAnsi="Hiragino Sans GB" w:eastAsia="Hiragino Sans GB"/>
          <w:b w:val="0"/>
          <w:i w:val="0"/>
        </w:rPr>
        <w:t>根据实际语义决定是否拆分、编辑、重新关联任务，并标记是否需反馈。</w:t>
      </w:r>
    </w:p>
    <w:p>
      <w:pPr>
        <w:pStyle w:val="ListNumber"/>
      </w:pPr>
      <w:r>
        <w:rPr>
          <w:rFonts w:ascii="Hiragino Sans GB" w:hAnsi="Hiragino Sans GB" w:eastAsia="Hiragino Sans GB"/>
          <w:b w:val="0"/>
          <w:i w:val="0"/>
        </w:rPr>
        <w:t>确认保存后，指导意见会以特殊评论样式同步到任务详情，进入后续反馈链路。</w:t>
      </w:r>
    </w:p>
    <w:p>
      <w:pPr>
        <w:ind w:left="173"/>
        <w:shd w:fill="F1F5F9"/>
      </w:pPr>
      <w:r>
        <w:rPr>
          <w:rFonts w:ascii="Hiragino Sans GB" w:hAnsi="Hiragino Sans GB" w:eastAsia="Hiragino Sans GB"/>
          <w:b/>
          <w:i w:val="0"/>
        </w:rPr>
        <w:t>注意： “是否需反馈”是后续进入意见跟踪池的重要字段，建议由纪要维护人先确认口径，再交给负责人回复。</w:t>
      </w:r>
    </w:p>
    <w:p>
      <w:pPr>
        <w:pStyle w:val="Heading1"/>
      </w:pPr>
      <w:r>
        <w:t>第四章 任务管理</w:t>
      </w:r>
    </w:p>
    <w:p>
      <w:pPr>
        <w:pStyle w:val="Heading2"/>
      </w:pPr>
      <w:r>
        <w:t>一、业务说明</w:t>
      </w:r>
    </w:p>
    <w:p>
      <w:r>
        <w:rPr>
          <w:rFonts w:ascii="Hiragino Sans GB" w:hAnsi="Hiragino Sans GB" w:eastAsia="Hiragino Sans GB"/>
          <w:b w:val="0"/>
          <w:i w:val="0"/>
        </w:rPr>
        <w:t>任务既可以来自会议转任务，也可以由业务人员手动新增、批量新增或在任务详情中创建子任务。</w:t>
      </w:r>
    </w:p>
    <w:p>
      <w:r>
        <w:rPr>
          <w:rFonts w:ascii="Hiragino Sans GB" w:hAnsi="Hiragino Sans GB" w:eastAsia="Hiragino Sans GB"/>
          <w:b w:val="0"/>
          <w:i w:val="0"/>
        </w:rPr>
        <w:t>不论入口如何，正式进入执行前都需要统一补齐标题、责任、时间、来源关联和协作关系等基础信息。</w:t>
      </w:r>
    </w:p>
    <w:p>
      <w:pPr>
        <w:ind w:left="173"/>
        <w:shd w:fill="F1F5F9"/>
      </w:pPr>
      <w:r>
        <w:rPr>
          <w:rFonts w:ascii="Hiragino Sans GB" w:hAnsi="Hiragino Sans GB" w:eastAsia="Hiragino Sans GB"/>
          <w:b/>
          <w:i w:val="0"/>
        </w:rPr>
        <w:t>本章目标：把一条待办或业务事项整理成信息完整、责任明确、可以进入执行或审批的正式任务。</w:t>
      </w:r>
    </w:p>
    <w:p>
      <w:pPr>
        <w:pStyle w:val="Heading2"/>
      </w:pPr>
      <w:r>
        <w:t>二、手动新增</w:t>
      </w:r>
    </w:p>
    <w:p>
      <w:pPr>
        <w:pStyle w:val="ListNumber"/>
      </w:pPr>
      <w:r>
        <w:rPr>
          <w:rFonts w:ascii="Hiragino Sans GB" w:hAnsi="Hiragino Sans GB" w:eastAsia="Hiragino Sans GB"/>
          <w:b w:val="0"/>
          <w:i w:val="0"/>
        </w:rPr>
        <w:t>进入 任务管理 &gt; 新建任务。</w:t>
      </w:r>
    </w:p>
    <w:p>
      <w:pPr>
        <w:pStyle w:val="ListNumber"/>
      </w:pPr>
      <w:r>
        <w:rPr>
          <w:rFonts w:ascii="Hiragino Sans GB" w:hAnsi="Hiragino Sans GB" w:eastAsia="Hiragino Sans GB"/>
          <w:b w:val="0"/>
          <w:i w:val="0"/>
        </w:rPr>
        <w:t>填写任务标题、任务类型、业务归属、所属项目和任务描述。</w:t>
      </w:r>
    </w:p>
    <w:p>
      <w:pPr>
        <w:pStyle w:val="ListNumber"/>
      </w:pPr>
      <w:r>
        <w:rPr>
          <w:rFonts w:ascii="Hiragino Sans GB" w:hAnsi="Hiragino Sans GB" w:eastAsia="Hiragino Sans GB"/>
          <w:b w:val="0"/>
          <w:i w:val="0"/>
        </w:rPr>
        <w:t>补充主责组织、负责人、参与人、协作组织、协作人和抄送人。</w:t>
      </w:r>
    </w:p>
    <w:p>
      <w:pPr>
        <w:pStyle w:val="ListNumber"/>
      </w:pPr>
      <w:r>
        <w:rPr>
          <w:rFonts w:ascii="Hiragino Sans GB" w:hAnsi="Hiragino Sans GB" w:eastAsia="Hiragino Sans GB"/>
          <w:b w:val="0"/>
          <w:i w:val="0"/>
        </w:rPr>
        <w:t>维护计划开始、计划结束、里程碑节点和任务来源。</w:t>
      </w:r>
    </w:p>
    <w:p>
      <w:pPr>
        <w:pStyle w:val="ListNumber"/>
      </w:pPr>
      <w:r>
        <w:rPr>
          <w:rFonts w:ascii="Hiragino Sans GB" w:hAnsi="Hiragino Sans GB" w:eastAsia="Hiragino Sans GB"/>
          <w:b w:val="0"/>
          <w:i w:val="0"/>
        </w:rPr>
        <w:t>必要时关联会议、上级任务、计划或其他业务对象。</w:t>
      </w:r>
    </w:p>
    <w:p>
      <w:r>
        <w:rPr>
          <w:rFonts w:ascii="Hiragino Sans GB" w:hAnsi="Hiragino Sans GB" w:eastAsia="Hiragino Sans GB"/>
          <w:b w:val="0"/>
          <w:i w:val="0"/>
        </w:rPr>
        <w:t>新建任务以右侧抽屉形式打开，任务基础、任务材料和责任协同分区填写；页面底部的 保存 用于保留草稿，提交 用于进入发布或审批链路。</w:t>
      </w:r>
    </w:p>
    <w:p>
      <w:pPr>
        <w:ind w:left="173"/>
        <w:shd w:fill="F1F5F9"/>
      </w:pPr>
      <w:r>
        <w:rPr>
          <w:rFonts w:ascii="Hiragino Sans GB" w:hAnsi="Hiragino Sans GB" w:eastAsia="Hiragino Sans GB"/>
          <w:b/>
          <w:i w:val="0"/>
        </w:rPr>
        <w:t>提交前检查：任务标题能说明要做什么，负责人明确，计划结束时间明确，任务来源和上级任务关系已确认。</w:t>
      </w:r>
    </w:p>
    <w:p>
      <w:pPr>
        <w:jc w:val="center"/>
      </w:pPr>
      <w:r>
        <w:drawing>
          <wp:inline xmlns:a="http://schemas.openxmlformats.org/drawingml/2006/main" xmlns:pic="http://schemas.openxmlformats.org/drawingml/2006/picture">
            <wp:extent cx="5715000" cy="3230724"/>
            <wp:docPr id="13" name="Picture 13"/>
            <wp:cNvGraphicFramePr>
              <a:graphicFrameLocks noChangeAspect="1"/>
            </wp:cNvGraphicFramePr>
            <a:graphic>
              <a:graphicData uri="http://schemas.openxmlformats.org/drawingml/2006/picture">
                <pic:pic>
                  <pic:nvPicPr>
                    <pic:cNvPr id="0" name="我的任务台账勾选新建任务按钮.png"/>
                    <pic:cNvPicPr/>
                  </pic:nvPicPr>
                  <pic:blipFill>
                    <a:blip r:embed="rId19"/>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14" name="Picture 14"/>
            <wp:cNvGraphicFramePr>
              <a:graphicFrameLocks noChangeAspect="1"/>
            </wp:cNvGraphicFramePr>
            <a:graphic>
              <a:graphicData uri="http://schemas.openxmlformats.org/drawingml/2006/picture">
                <pic:pic>
                  <pic:nvPicPr>
                    <pic:cNvPr id="0" name="任务创建与发布抽屉打开.png"/>
                    <pic:cNvPicPr/>
                  </pic:nvPicPr>
                  <pic:blipFill>
                    <a:blip r:embed="rId20"/>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15" name="Picture 15"/>
            <wp:cNvGraphicFramePr>
              <a:graphicFrameLocks noChangeAspect="1"/>
            </wp:cNvGraphicFramePr>
            <a:graphic>
              <a:graphicData uri="http://schemas.openxmlformats.org/drawingml/2006/picture">
                <pic:pic>
                  <pic:nvPicPr>
                    <pic:cNvPr id="0" name="协作任务新增.png"/>
                    <pic:cNvPicPr/>
                  </pic:nvPicPr>
                  <pic:blipFill>
                    <a:blip r:embed="rId21"/>
                    <a:stretch>
                      <a:fillRect/>
                    </a:stretch>
                  </pic:blipFill>
                  <pic:spPr>
                    <a:xfrm>
                      <a:off x="0" y="0"/>
                      <a:ext cx="5715000" cy="3230724"/>
                    </a:xfrm>
                    <a:prstGeom prst="rect"/>
                  </pic:spPr>
                </pic:pic>
              </a:graphicData>
            </a:graphic>
          </wp:inline>
        </w:drawing>
      </w:r>
    </w:p>
    <w:p>
      <w:pPr>
        <w:pStyle w:val="Heading2"/>
      </w:pPr>
      <w:r>
        <w:t>三、批量新增</w:t>
      </w:r>
    </w:p>
    <w:p>
      <w:r>
        <w:rPr>
          <w:rFonts w:ascii="Hiragino Sans GB" w:hAnsi="Hiragino Sans GB" w:eastAsia="Hiragino Sans GB"/>
          <w:b w:val="0"/>
          <w:i w:val="0"/>
        </w:rPr>
        <w:t>当需要一次性录入多条任务时，可从任务台账发起批量新增，通过下载模板、导入模板、补充行数据后统一提交。</w:t>
      </w:r>
    </w:p>
    <w:p>
      <w:pPr>
        <w:pStyle w:val="ListBullet"/>
      </w:pPr>
      <w:r>
        <w:rPr>
          <w:rFonts w:ascii="Hiragino Sans GB" w:hAnsi="Hiragino Sans GB" w:eastAsia="Hiragino Sans GB"/>
          <w:b w:val="0"/>
          <w:i w:val="0"/>
        </w:rPr>
        <w:t>导入前先统一任务标题、负责人、截止时间和来源口径，避免导入后再大批量返工。</w:t>
      </w:r>
    </w:p>
    <w:p>
      <w:pPr>
        <w:pStyle w:val="ListBullet"/>
      </w:pPr>
      <w:r>
        <w:rPr>
          <w:rFonts w:ascii="Hiragino Sans GB" w:hAnsi="Hiragino Sans GB" w:eastAsia="Hiragino Sans GB"/>
          <w:b w:val="0"/>
          <w:i w:val="0"/>
        </w:rPr>
        <w:t>批量导入更适合结构明确、字段统一的任务，不适合责任关系复杂的协作任务。</w:t>
      </w:r>
    </w:p>
    <w:p>
      <w:pPr>
        <w:pStyle w:val="ListBullet"/>
      </w:pPr>
      <w:r>
        <w:rPr>
          <w:rFonts w:ascii="Hiragino Sans GB" w:hAnsi="Hiragino Sans GB" w:eastAsia="Hiragino Sans GB"/>
          <w:b w:val="0"/>
          <w:i w:val="0"/>
        </w:rPr>
        <w:t>进入批量新增弹窗后，点击 导入表格，检查表头和每一行的必填字段；表格列较多时可横向滚动核对隐藏字段。</w:t>
      </w:r>
    </w:p>
    <w:p>
      <w:pPr>
        <w:ind w:left="173"/>
        <w:shd w:fill="F1F5F9"/>
      </w:pPr>
      <w:r>
        <w:rPr>
          <w:rFonts w:ascii="Hiragino Sans GB" w:hAnsi="Hiragino Sans GB" w:eastAsia="Hiragino Sans GB"/>
          <w:b/>
          <w:i w:val="0"/>
        </w:rPr>
        <w:t>完成标志：导入预览中每一行都能看到正确的标题、负责人和时间，校验通过后再统一提交。</w:t>
      </w:r>
    </w:p>
    <w:p>
      <w:pPr>
        <w:jc w:val="center"/>
      </w:pPr>
      <w:r>
        <w:drawing>
          <wp:inline xmlns:a="http://schemas.openxmlformats.org/drawingml/2006/main" xmlns:pic="http://schemas.openxmlformats.org/drawingml/2006/picture">
            <wp:extent cx="5715000" cy="3230724"/>
            <wp:docPr id="16" name="Picture 16"/>
            <wp:cNvGraphicFramePr>
              <a:graphicFrameLocks noChangeAspect="1"/>
            </wp:cNvGraphicFramePr>
            <a:graphic>
              <a:graphicData uri="http://schemas.openxmlformats.org/drawingml/2006/picture">
                <pic:pic>
                  <pic:nvPicPr>
                    <pic:cNvPr id="0" name="批量新增任务弹窗并勾选导入表格.png"/>
                    <pic:cNvPicPr/>
                  </pic:nvPicPr>
                  <pic:blipFill>
                    <a:blip r:embed="rId22"/>
                    <a:stretch>
                      <a:fillRect/>
                    </a:stretch>
                  </pic:blipFill>
                  <pic:spPr>
                    <a:xfrm>
                      <a:off x="0" y="0"/>
                      <a:ext cx="5715000" cy="3230724"/>
                    </a:xfrm>
                    <a:prstGeom prst="rect"/>
                  </pic:spPr>
                </pic:pic>
              </a:graphicData>
            </a:graphic>
          </wp:inline>
        </w:drawing>
      </w:r>
    </w:p>
    <w:p>
      <w:pPr>
        <w:pStyle w:val="Heading2"/>
      </w:pPr>
      <w:r>
        <w:t>四、责任计划</w:t>
      </w:r>
    </w:p>
    <w:p>
      <w:r>
        <w:rPr>
          <w:rFonts w:ascii="Hiragino Sans GB" w:hAnsi="Hiragino Sans GB" w:eastAsia="Hiragino Sans GB"/>
          <w:b w:val="0"/>
          <w:i w:val="0"/>
        </w:rPr>
        <w:t>责任协同是任务后续能否被正确签收、反馈和移交的基础，尤其是协作任务。</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字段</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填写建议</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负责人</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以最终对结果负责的人为准，不建议只填执行支持人员。</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协作人</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只有确需进入独立签收链路的协同方才建议维护为协作人。</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计划时间</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需与会议决议、上级要求和统计口径保持一致，避免后续超期判定失真。</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来源关联</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能关联会议、上级任务或业务单据时尽量关联，便于追溯。</w:t>
            </w:r>
          </w:p>
        </w:tc>
      </w:tr>
    </w:tbl>
    <w:p/>
    <w:p>
      <w:pPr>
        <w:pStyle w:val="Heading2"/>
      </w:pPr>
      <w:r>
        <w:t>五、提交审批</w:t>
      </w:r>
    </w:p>
    <w:p>
      <w:r>
        <w:rPr>
          <w:rFonts w:ascii="Hiragino Sans GB" w:hAnsi="Hiragino Sans GB" w:eastAsia="Hiragino Sans GB"/>
          <w:b w:val="0"/>
          <w:i w:val="0"/>
        </w:rPr>
        <w:t>任务模块本身不内置审批流转逻辑，而是按规则调用流程引擎。当前已明确的规则如下：</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场景</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规则说明</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协作任务提交</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属于必然触发审批的场景，审批通过后协作人侧才会生成待签收记录。</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普通任务提交</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是否审批取决于流程配置，未命中时可直接发布进入正式任务链路。</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任务编辑变更</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按流程配置决定是否进入变更流程，流程通过后再回写变更内容。</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发起结项</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属于必然触发审批的场景，审批通过后任务才会完成归档。</w:t>
            </w:r>
          </w:p>
        </w:tc>
      </w:tr>
    </w:tbl>
    <w:p/>
    <w:p>
      <w:pPr>
        <w:pStyle w:val="ListNumber"/>
      </w:pPr>
      <w:r>
        <w:rPr>
          <w:rFonts w:ascii="Hiragino Sans GB" w:hAnsi="Hiragino Sans GB" w:eastAsia="Hiragino Sans GB"/>
          <w:b w:val="0"/>
          <w:i w:val="0"/>
        </w:rPr>
        <w:t>先确认任务信息已补齐，再点击提交或发布。</w:t>
      </w:r>
    </w:p>
    <w:p>
      <w:pPr>
        <w:pStyle w:val="ListNumber"/>
      </w:pPr>
      <w:r>
        <w:rPr>
          <w:rFonts w:ascii="Hiragino Sans GB" w:hAnsi="Hiragino Sans GB" w:eastAsia="Hiragino Sans GB"/>
          <w:b w:val="0"/>
          <w:i w:val="0"/>
        </w:rPr>
        <w:t>如页面进入审批记录，等待审批完成；如未触发审批，确认任务已进入正式任务列表。</w:t>
      </w:r>
    </w:p>
    <w:p>
      <w:pPr>
        <w:pStyle w:val="ListNumber"/>
      </w:pPr>
      <w:r>
        <w:rPr>
          <w:rFonts w:ascii="Hiragino Sans GB" w:hAnsi="Hiragino Sans GB" w:eastAsia="Hiragino Sans GB"/>
          <w:b w:val="0"/>
          <w:i w:val="0"/>
        </w:rPr>
        <w:t>协作任务要继续到协作人侧确认待签收记录是否生成。</w:t>
      </w:r>
    </w:p>
    <w:p>
      <w:pPr>
        <w:ind w:left="173"/>
        <w:shd w:fill="F1F5F9"/>
      </w:pPr>
      <w:r>
        <w:rPr>
          <w:rFonts w:ascii="Hiragino Sans GB" w:hAnsi="Hiragino Sans GB" w:eastAsia="Hiragino Sans GB"/>
          <w:b/>
          <w:i w:val="0"/>
        </w:rPr>
        <w:t>完成标志：任务不再停留在草稿，页面能看到正式任务状态或流程记录；协作任务还应能在协作人待签收中找到。</w:t>
      </w:r>
    </w:p>
    <w:p>
      <w:pPr>
        <w:jc w:val="center"/>
      </w:pPr>
      <w:r>
        <w:drawing>
          <wp:inline xmlns:a="http://schemas.openxmlformats.org/drawingml/2006/main" xmlns:pic="http://schemas.openxmlformats.org/drawingml/2006/picture">
            <wp:extent cx="5715000" cy="3230724"/>
            <wp:docPr id="17" name="Picture 17"/>
            <wp:cNvGraphicFramePr>
              <a:graphicFrameLocks noChangeAspect="1"/>
            </wp:cNvGraphicFramePr>
            <a:graphic>
              <a:graphicData uri="http://schemas.openxmlformats.org/drawingml/2006/picture">
                <pic:pic>
                  <pic:nvPicPr>
                    <pic:cNvPr id="0" name="任务详情抽屉点击流程节点.png"/>
                    <pic:cNvPicPr/>
                  </pic:nvPicPr>
                  <pic:blipFill>
                    <a:blip r:embed="rId23"/>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18" name="Picture 18"/>
            <wp:cNvGraphicFramePr>
              <a:graphicFrameLocks noChangeAspect="1"/>
            </wp:cNvGraphicFramePr>
            <a:graphic>
              <a:graphicData uri="http://schemas.openxmlformats.org/drawingml/2006/picture">
                <pic:pic>
                  <pic:nvPicPr>
                    <pic:cNvPr id="0" name="任务创建审批.png"/>
                    <pic:cNvPicPr/>
                  </pic:nvPicPr>
                  <pic:blipFill>
                    <a:blip r:embed="rId24"/>
                    <a:stretch>
                      <a:fillRect/>
                    </a:stretch>
                  </pic:blipFill>
                  <pic:spPr>
                    <a:xfrm>
                      <a:off x="0" y="0"/>
                      <a:ext cx="5715000" cy="3230724"/>
                    </a:xfrm>
                    <a:prstGeom prst="rect"/>
                  </pic:spPr>
                </pic:pic>
              </a:graphicData>
            </a:graphic>
          </wp:inline>
        </w:drawing>
      </w:r>
    </w:p>
    <w:p>
      <w:pPr>
        <w:pStyle w:val="Heading2"/>
      </w:pPr>
      <w:r>
        <w:t>六、创建流程</w:t>
      </w:r>
    </w:p>
    <w:p>
      <w:r>
        <w:rPr>
          <w:rFonts w:ascii="Hiragino Sans GB" w:hAnsi="Hiragino Sans GB" w:eastAsia="Hiragino Sans GB"/>
          <w:b w:val="0"/>
          <w:i w:val="0"/>
        </w:rPr>
        <w:t>根据当前流程设计，任务创建提交后是否进入审批，主要取决于创建人与承办人的组织关系。</w:t>
      </w:r>
    </w:p>
    <w:tbl>
      <w:tblPr>
        <w:tblStyle w:val="TableGrid"/>
        <w:tblW w:type="auto" w:w="0"/>
        <w:jc w:val="center"/>
        <w:tblLook w:firstColumn="1" w:firstRow="1" w:lastColumn="0" w:lastRow="0" w:noHBand="0" w:noVBand="1" w:val="04A0"/>
      </w:tblPr>
      <w:tblGrid>
        <w:gridCol w:w="3312"/>
        <w:gridCol w:w="3312"/>
        <w:gridCol w:w="3312"/>
      </w:tblGrid>
      <w:tr>
        <w:tc>
          <w:tcPr>
            <w:tcW w:type="dxa" w:w="3312"/>
            <w:tcMar>
              <w:top w:w="100" w:type="dxa"/>
              <w:start w:w="120" w:type="dxa"/>
              <w:bottom w:w="100" w:type="dxa"/>
              <w:end w:w="120" w:type="dxa"/>
            </w:tcMar>
            <w:vAlign w:val="center"/>
            <w:shd w:fill="E8EEF5"/>
          </w:tcPr>
          <w:p>
            <w:pPr>
              <w:spacing w:after="40"/>
            </w:pPr>
            <w:r>
              <w:rPr>
                <w:rFonts w:ascii="Hiragino Sans GB" w:hAnsi="Hiragino Sans GB" w:eastAsia="Hiragino Sans GB"/>
                <w:b/>
              </w:rPr>
              <w:t>创建场景</w:t>
            </w:r>
          </w:p>
        </w:tc>
        <w:tc>
          <w:tcPr>
            <w:tcW w:type="dxa" w:w="3312"/>
            <w:tcMar>
              <w:top w:w="100" w:type="dxa"/>
              <w:start w:w="120" w:type="dxa"/>
              <w:bottom w:w="100" w:type="dxa"/>
              <w:end w:w="120" w:type="dxa"/>
            </w:tcMar>
            <w:vAlign w:val="center"/>
            <w:shd w:fill="E8EEF5"/>
          </w:tcPr>
          <w:p>
            <w:pPr>
              <w:spacing w:after="40"/>
            </w:pPr>
            <w:r>
              <w:rPr>
                <w:rFonts w:ascii="Hiragino Sans GB" w:hAnsi="Hiragino Sans GB" w:eastAsia="Hiragino Sans GB"/>
                <w:b/>
              </w:rPr>
              <w:t>流程规则</w:t>
            </w:r>
          </w:p>
        </w:tc>
        <w:tc>
          <w:tcPr>
            <w:tcW w:type="dxa" w:w="3312"/>
            <w:tcMar>
              <w:top w:w="100" w:type="dxa"/>
              <w:start w:w="120" w:type="dxa"/>
              <w:bottom w:w="100" w:type="dxa"/>
              <w:end w:w="120" w:type="dxa"/>
            </w:tcMar>
            <w:vAlign w:val="center"/>
            <w:shd w:fill="E8EEF5"/>
          </w:tcPr>
          <w:p>
            <w:pPr>
              <w:spacing w:after="40"/>
            </w:pPr>
            <w:r>
              <w:rPr>
                <w:rFonts w:ascii="Hiragino Sans GB" w:hAnsi="Hiragino Sans GB" w:eastAsia="Hiragino Sans GB"/>
                <w:b/>
              </w:rPr>
              <w:t>抄送范围</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产业园经管创建</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无需审批，直接通过。</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抄送承办人及其上级。</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处室企划创建</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处室企划在本处室内创建任务时，无需审批，直接通过。</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抄送承办人及其上级。</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上级给下级创建</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直接上级或更高层级上级向下级创建任务时，无需审批，直接通过。</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抄送承办人及其上级。</w:t>
            </w:r>
          </w:p>
        </w:tc>
      </w:tr>
      <w:tr>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其他场景</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如跨部门创建、同级分配任务等，需要发起审批。审批链路为：发起人 → 父级任务负责人（如有）→ 承办人组织上级负责人。</w:t>
            </w:r>
          </w:p>
        </w:tc>
        <w:tc>
          <w:tcPr>
            <w:tcW w:type="dxa" w:w="3312"/>
            <w:tcMar>
              <w:top w:w="100" w:type="dxa"/>
              <w:start w:w="120" w:type="dxa"/>
              <w:bottom w:w="100" w:type="dxa"/>
              <w:end w:w="120" w:type="dxa"/>
            </w:tcMar>
            <w:vAlign w:val="center"/>
          </w:tcPr>
          <w:p>
            <w:pPr>
              <w:spacing w:after="40"/>
            </w:pPr>
            <w:r>
              <w:rPr>
                <w:rFonts w:ascii="Hiragino Sans GB" w:hAnsi="Hiragino Sans GB" w:eastAsia="Hiragino Sans GB"/>
              </w:rPr>
              <w:t>抄送承办人及其上级。</w:t>
            </w:r>
          </w:p>
        </w:tc>
      </w:tr>
    </w:tbl>
    <w:p/>
    <w:p>
      <w:pPr>
        <w:ind w:left="173"/>
        <w:shd w:fill="F1F5F9"/>
      </w:pPr>
      <w:r>
        <w:rPr>
          <w:rFonts w:ascii="Hiragino Sans GB" w:hAnsi="Hiragino Sans GB" w:eastAsia="Hiragino Sans GB"/>
          <w:b/>
          <w:i w:val="0"/>
        </w:rPr>
        <w:t>说明： 会议生成的新增决议任务，在信息补充完成后，同样应按上述任务创建规则判断是否直接通过，或进入创建审批流程。</w:t>
      </w:r>
    </w:p>
    <w:p>
      <w:pPr>
        <w:pStyle w:val="Heading2"/>
      </w:pPr>
      <w:r>
        <w:t>七、变更流程</w:t>
      </w:r>
    </w:p>
    <w:p>
      <w:r>
        <w:rPr>
          <w:rFonts w:ascii="Hiragino Sans GB" w:hAnsi="Hiragino Sans GB" w:eastAsia="Hiragino Sans GB"/>
          <w:b w:val="0"/>
          <w:i w:val="0"/>
        </w:rPr>
        <w:t>任务变更不是统一一条审批链，而是根据变更内容类型决定审批节点，尤其要重点区分时间突破、负责人变更和父级任务修改。</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变更类型</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审批规则</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截止时间延期，未突破上级 deadline</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发起人提交后，由任务负责人直接上级审批。</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截止时间延期，突破上级 deadline 但未突破更高层级</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发起人提交后，依次由任务负责人直接上级、父级任务负责人审批。</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截止时间延期，突破更高层级 deadline</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发起人提交后，先由任务负责人直接上级审批，再按父级任务链路逐级循环审批，直到覆盖被突破的上层 deadline。</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负责人变更</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发起人提交后，依次由原负责人上级、新负责人上级、父级任务负责人（如有）审批。</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父级任务修改</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如父级任务由 A 改为 B、A 改为空、空改为 A，需由原父级任务负责人、新父级任务负责人审批。</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普通变更</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对非以上内容的其他变更，发起人提交后，由负责人上级、父级任务负责人审批。</w:t>
            </w:r>
          </w:p>
        </w:tc>
      </w:tr>
    </w:tbl>
    <w:p/>
    <w:p>
      <w:r>
        <w:rPr>
          <w:rFonts w:ascii="Hiragino Sans GB" w:hAnsi="Hiragino Sans GB" w:eastAsia="Hiragino Sans GB"/>
          <w:b w:val="0"/>
          <w:i w:val="0"/>
        </w:rPr>
        <w:t>如同时发生时间突破、负责人变更、父级任务修改等组合场景，应按对应规则叠加审批，而不是只取其中一条最简单路径。</w:t>
      </w:r>
    </w:p>
    <w:p>
      <w:pPr>
        <w:ind w:left="173"/>
        <w:shd w:fill="F1F5F9"/>
      </w:pPr>
      <w:r>
        <w:rPr>
          <w:rFonts w:ascii="Hiragino Sans GB" w:hAnsi="Hiragino Sans GB" w:eastAsia="Hiragino Sans GB"/>
          <w:b/>
          <w:i w:val="0"/>
        </w:rPr>
        <w:t>操作顺序：先在任务详情发起变更，选择变更类型并填写原因，再根据页面展示的审批链提交；审批通过后，回到任务详情核对变更结果。</w:t>
      </w:r>
    </w:p>
    <w:p>
      <w:pPr>
        <w:jc w:val="center"/>
      </w:pPr>
      <w:r>
        <w:drawing>
          <wp:inline xmlns:a="http://schemas.openxmlformats.org/drawingml/2006/main" xmlns:pic="http://schemas.openxmlformats.org/drawingml/2006/picture">
            <wp:extent cx="5715000" cy="3230724"/>
            <wp:docPr id="19" name="Picture 19"/>
            <wp:cNvGraphicFramePr>
              <a:graphicFrameLocks noChangeAspect="1"/>
            </wp:cNvGraphicFramePr>
            <a:graphic>
              <a:graphicData uri="http://schemas.openxmlformats.org/drawingml/2006/picture">
                <pic:pic>
                  <pic:nvPicPr>
                    <pic:cNvPr id="0" name="任务详情点击编辑进入变更流程界面.png"/>
                    <pic:cNvPicPr/>
                  </pic:nvPicPr>
                  <pic:blipFill>
                    <a:blip r:embed="rId25"/>
                    <a:stretch>
                      <a:fillRect/>
                    </a:stretch>
                  </pic:blipFill>
                  <pic:spPr>
                    <a:xfrm>
                      <a:off x="0" y="0"/>
                      <a:ext cx="5715000" cy="3230724"/>
                    </a:xfrm>
                    <a:prstGeom prst="rect"/>
                  </pic:spPr>
                </pic:pic>
              </a:graphicData>
            </a:graphic>
          </wp:inline>
        </w:drawing>
      </w:r>
    </w:p>
    <w:p>
      <w:pPr>
        <w:pStyle w:val="Heading1"/>
      </w:pPr>
      <w:r>
        <w:t>第五章 任务结项</w:t>
      </w:r>
    </w:p>
    <w:p>
      <w:pPr>
        <w:pStyle w:val="Heading2"/>
      </w:pPr>
      <w:r>
        <w:t>一、执行流程</w:t>
      </w:r>
    </w:p>
    <w:p>
      <w:pPr>
        <w:jc w:val="center"/>
      </w:pPr>
      <w:r>
        <w:drawing>
          <wp:inline xmlns:a="http://schemas.openxmlformats.org/drawingml/2006/main" xmlns:pic="http://schemas.openxmlformats.org/drawingml/2006/picture">
            <wp:extent cx="5577840" cy="4893625"/>
            <wp:docPr id="20" name="Picture 20"/>
            <wp:cNvGraphicFramePr>
              <a:graphicFrameLocks noChangeAspect="1"/>
            </wp:cNvGraphicFramePr>
            <a:graphic>
              <a:graphicData uri="http://schemas.openxmlformats.org/drawingml/2006/picture">
                <pic:pic>
                  <pic:nvPicPr>
                    <pic:cNvPr id="0" name="manual_flowchart_2.png"/>
                    <pic:cNvPicPr/>
                  </pic:nvPicPr>
                  <pic:blipFill>
                    <a:blip r:embed="rId26"/>
                    <a:stretch>
                      <a:fillRect/>
                    </a:stretch>
                  </pic:blipFill>
                  <pic:spPr>
                    <a:xfrm>
                      <a:off x="0" y="0"/>
                      <a:ext cx="5577840" cy="4893625"/>
                    </a:xfrm>
                    <a:prstGeom prst="rect"/>
                  </pic:spPr>
                </pic:pic>
              </a:graphicData>
            </a:graphic>
          </wp:inline>
        </w:drawing>
      </w:r>
    </w:p>
    <w:p/>
    <w:p>
      <w:pPr>
        <w:pStyle w:val="Heading2"/>
      </w:pPr>
      <w:r>
        <w:t>二、待办承接</w:t>
      </w:r>
    </w:p>
    <w:p>
      <w:r>
        <w:rPr>
          <w:rFonts w:ascii="Hiragino Sans GB" w:hAnsi="Hiragino Sans GB" w:eastAsia="Hiragino Sans GB"/>
          <w:b w:val="0"/>
          <w:i w:val="0"/>
        </w:rPr>
        <w:t>任务发布后，负责人主要通过“我的任务”查看待办、进行中、已完成和我协作的任务。</w:t>
      </w:r>
    </w:p>
    <w:p>
      <w:r>
        <w:rPr>
          <w:rFonts w:ascii="Hiragino Sans GB" w:hAnsi="Hiragino Sans GB" w:eastAsia="Hiragino Sans GB"/>
          <w:b w:val="0"/>
          <w:i w:val="0"/>
        </w:rPr>
        <w:t>如果任务为普通任务，负责人通常直接进入执行；如果任务存在明确的接收动作或待办节点，则需先完成承接或确认。</w:t>
      </w:r>
    </w:p>
    <w:p>
      <w:r>
        <w:rPr>
          <w:rFonts w:ascii="Hiragino Sans GB" w:hAnsi="Hiragino Sans GB" w:eastAsia="Hiragino Sans GB"/>
          <w:b w:val="0"/>
          <w:i w:val="0"/>
        </w:rPr>
        <w:t>“我的任务”支持按当前状态、任务来源等条件筛选，并可在列表、树视图和思维导图之间切换；分组方式会影响列表的组织规则，但不会改变任务本身的责任关系。</w:t>
      </w:r>
    </w:p>
    <w:p>
      <w:pPr>
        <w:ind w:left="173"/>
        <w:shd w:fill="F1F5F9"/>
      </w:pPr>
      <w:r>
        <w:rPr>
          <w:rFonts w:ascii="Hiragino Sans GB" w:hAnsi="Hiragino Sans GB" w:eastAsia="Hiragino Sans GB"/>
          <w:b/>
          <w:i w:val="0"/>
        </w:rPr>
        <w:t>完成标志：任务出现在“我的任务”或“待我签收”列表中，负责人能够打开任务详情并看到负责人、截止时间和任务要求。</w:t>
      </w:r>
    </w:p>
    <w:p>
      <w:pPr>
        <w:jc w:val="center"/>
      </w:pPr>
      <w:r>
        <w:drawing>
          <wp:inline xmlns:a="http://schemas.openxmlformats.org/drawingml/2006/main" xmlns:pic="http://schemas.openxmlformats.org/drawingml/2006/picture">
            <wp:extent cx="5715000" cy="3230724"/>
            <wp:docPr id="21" name="Picture 21"/>
            <wp:cNvGraphicFramePr>
              <a:graphicFrameLocks noChangeAspect="1"/>
            </wp:cNvGraphicFramePr>
            <a:graphic>
              <a:graphicData uri="http://schemas.openxmlformats.org/drawingml/2006/picture">
                <pic:pic>
                  <pic:nvPicPr>
                    <pic:cNvPr id="0" name="我的任务列表勾选了视图切换按钮.png"/>
                    <pic:cNvPicPr/>
                  </pic:nvPicPr>
                  <pic:blipFill>
                    <a:blip r:embed="rId27"/>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22" name="Picture 22"/>
            <wp:cNvGraphicFramePr>
              <a:graphicFrameLocks noChangeAspect="1"/>
            </wp:cNvGraphicFramePr>
            <a:graphic>
              <a:graphicData uri="http://schemas.openxmlformats.org/drawingml/2006/picture">
                <pic:pic>
                  <pic:nvPicPr>
                    <pic:cNvPr id="0" name="我的任务参与与协作tab下.png"/>
                    <pic:cNvPicPr/>
                  </pic:nvPicPr>
                  <pic:blipFill>
                    <a:blip r:embed="rId28"/>
                    <a:stretch>
                      <a:fillRect/>
                    </a:stretch>
                  </pic:blipFill>
                  <pic:spPr>
                    <a:xfrm>
                      <a:off x="0" y="0"/>
                      <a:ext cx="5715000" cy="3230724"/>
                    </a:xfrm>
                    <a:prstGeom prst="rect"/>
                  </pic:spPr>
                </pic:pic>
              </a:graphicData>
            </a:graphic>
          </wp:inline>
        </w:drawing>
      </w:r>
    </w:p>
    <w:p>
      <w:pPr>
        <w:pStyle w:val="Heading2"/>
      </w:pPr>
      <w:r>
        <w:t>三、进度反馈</w:t>
      </w:r>
    </w:p>
    <w:p>
      <w:pPr>
        <w:pStyle w:val="ListNumber"/>
      </w:pPr>
      <w:r>
        <w:rPr>
          <w:rFonts w:ascii="Hiragino Sans GB" w:hAnsi="Hiragino Sans GB" w:eastAsia="Hiragino Sans GB"/>
          <w:b w:val="0"/>
          <w:i w:val="0"/>
        </w:rPr>
        <w:t>进入任务详情页，点击进度反馈。</w:t>
      </w:r>
    </w:p>
    <w:p>
      <w:pPr>
        <w:pStyle w:val="ListNumber"/>
      </w:pPr>
      <w:r>
        <w:rPr>
          <w:rFonts w:ascii="Hiragino Sans GB" w:hAnsi="Hiragino Sans GB" w:eastAsia="Hiragino Sans GB"/>
          <w:b w:val="0"/>
          <w:i w:val="0"/>
        </w:rPr>
        <w:t>维护当前进度、实际开始时间、反馈说明、图片和附件。</w:t>
      </w:r>
    </w:p>
    <w:p>
      <w:pPr>
        <w:pStyle w:val="ListNumber"/>
      </w:pPr>
      <w:r>
        <w:rPr>
          <w:rFonts w:ascii="Hiragino Sans GB" w:hAnsi="Hiragino Sans GB" w:eastAsia="Hiragino Sans GB"/>
          <w:b w:val="0"/>
          <w:i w:val="0"/>
        </w:rPr>
        <w:t>如反馈内容较多，可使用 AI 汇总辅助整理描述，但最终内容仍应以人工确认后的结果为准。</w:t>
      </w:r>
    </w:p>
    <w:p>
      <w:pPr>
        <w:pStyle w:val="ListNumber"/>
      </w:pPr>
      <w:r>
        <w:rPr>
          <w:rFonts w:ascii="Hiragino Sans GB" w:hAnsi="Hiragino Sans GB" w:eastAsia="Hiragino Sans GB"/>
          <w:b w:val="0"/>
          <w:i w:val="0"/>
        </w:rPr>
        <w:t>提交后，反馈会写入任务动态，供创建人、协作人和管理人员追溯。</w:t>
      </w:r>
    </w:p>
    <w:p>
      <w:r>
        <w:rPr>
          <w:rFonts w:ascii="Hiragino Sans GB" w:hAnsi="Hiragino Sans GB" w:eastAsia="Hiragino Sans GB"/>
          <w:b w:val="0"/>
          <w:i w:val="0"/>
        </w:rPr>
        <w:t>进度反馈弹窗中的反馈类型用于区分过程反馈和结项反馈；过程反馈可填写当前进度，上传现场图片或附件，并通过 AI 汇总 辅助整理反馈描述。</w:t>
      </w:r>
    </w:p>
    <w:p>
      <w:pPr>
        <w:ind w:left="173"/>
        <w:shd w:fill="F1F5F9"/>
      </w:pPr>
      <w:r>
        <w:rPr>
          <w:rFonts w:ascii="Hiragino Sans GB" w:hAnsi="Hiragino Sans GB" w:eastAsia="Hiragino Sans GB"/>
          <w:b/>
          <w:i w:val="0"/>
        </w:rPr>
        <w:t>完成标志：任务动态中出现本次反馈记录，进度、说明和附件能够被其他相关人员查看。</w:t>
      </w:r>
    </w:p>
    <w:p>
      <w:pPr>
        <w:jc w:val="center"/>
      </w:pPr>
      <w:r>
        <w:drawing>
          <wp:inline xmlns:a="http://schemas.openxmlformats.org/drawingml/2006/main" xmlns:pic="http://schemas.openxmlformats.org/drawingml/2006/picture">
            <wp:extent cx="5715000" cy="3230724"/>
            <wp:docPr id="23" name="Picture 23"/>
            <wp:cNvGraphicFramePr>
              <a:graphicFrameLocks noChangeAspect="1"/>
            </wp:cNvGraphicFramePr>
            <a:graphic>
              <a:graphicData uri="http://schemas.openxmlformats.org/drawingml/2006/picture">
                <pic:pic>
                  <pic:nvPicPr>
                    <pic:cNvPr id="0" name="任务详情点开AI助手.png"/>
                    <pic:cNvPicPr/>
                  </pic:nvPicPr>
                  <pic:blipFill>
                    <a:blip r:embed="rId29"/>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24" name="Picture 24"/>
            <wp:cNvGraphicFramePr>
              <a:graphicFrameLocks noChangeAspect="1"/>
            </wp:cNvGraphicFramePr>
            <a:graphic>
              <a:graphicData uri="http://schemas.openxmlformats.org/drawingml/2006/picture">
                <pic:pic>
                  <pic:nvPicPr>
                    <pic:cNvPr id="0" name="任务详情点击提交反馈.png"/>
                    <pic:cNvPicPr/>
                  </pic:nvPicPr>
                  <pic:blipFill>
                    <a:blip r:embed="rId30"/>
                    <a:stretch>
                      <a:fillRect/>
                    </a:stretch>
                  </pic:blipFill>
                  <pic:spPr>
                    <a:xfrm>
                      <a:off x="0" y="0"/>
                      <a:ext cx="5715000" cy="3230724"/>
                    </a:xfrm>
                    <a:prstGeom prst="rect"/>
                  </pic:spPr>
                </pic:pic>
              </a:graphicData>
            </a:graphic>
          </wp:inline>
        </w:drawing>
      </w:r>
    </w:p>
    <w:p>
      <w:pPr>
        <w:pStyle w:val="Heading2"/>
      </w:pPr>
      <w:r>
        <w:t>四、结项审批</w:t>
      </w:r>
    </w:p>
    <w:p>
      <w:r>
        <w:rPr>
          <w:rFonts w:ascii="Hiragino Sans GB" w:hAnsi="Hiragino Sans GB" w:eastAsia="Hiragino Sans GB"/>
          <w:b w:val="0"/>
          <w:i w:val="0"/>
        </w:rPr>
        <w:t>当任务已完成目标时，负责人应发起结项反馈并上传相应成果材料。</w:t>
      </w:r>
    </w:p>
    <w:p>
      <w:pPr>
        <w:pStyle w:val="ListBullet"/>
      </w:pPr>
      <w:r>
        <w:rPr>
          <w:rFonts w:ascii="Hiragino Sans GB" w:hAnsi="Hiragino Sans GB" w:eastAsia="Hiragino Sans GB"/>
          <w:b w:val="0"/>
          <w:i w:val="0"/>
        </w:rPr>
        <w:t>结项时建议补充实际结束时间、成果附件和结项说明，减少审批被驳回概率。</w:t>
      </w:r>
    </w:p>
    <w:p>
      <w:pPr>
        <w:pStyle w:val="ListBullet"/>
      </w:pPr>
      <w:r>
        <w:rPr>
          <w:rFonts w:ascii="Hiragino Sans GB" w:hAnsi="Hiragino Sans GB" w:eastAsia="Hiragino Sans GB"/>
          <w:b w:val="0"/>
          <w:i w:val="0"/>
        </w:rPr>
        <w:t>审批通过后任务进入正常完成或延迟完成；审批驳回后任务回到进行中或延迟进行继续补充。</w:t>
      </w:r>
    </w:p>
    <w:p>
      <w:r>
        <w:rPr>
          <w:rFonts w:ascii="Hiragino Sans GB" w:hAnsi="Hiragino Sans GB" w:eastAsia="Hiragino Sans GB"/>
          <w:b w:val="0"/>
          <w:i w:val="0"/>
        </w:rPr>
        <w:t>从任务详情点击 发起结项 后，系统会打开结项反馈弹窗，并将反馈类型切换为结项、当前进度置为 100%；实际结束时间和反馈描述仍需补齐后提交。</w:t>
      </w:r>
    </w:p>
    <w:tbl>
      <w:tblPr>
        <w:tblStyle w:val="TableGrid"/>
        <w:tblW w:type="auto" w:w="0"/>
        <w:jc w:val="center"/>
        <w:tblLook w:firstColumn="1" w:firstRow="1" w:lastColumn="0" w:lastRow="0" w:noHBand="0" w:noVBand="1" w:val="04A0"/>
      </w:tblPr>
      <w:tblGrid>
        <w:gridCol w:w="4968"/>
        <w:gridCol w:w="4968"/>
      </w:tblGrid>
      <w:tr>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结项环节</w:t>
            </w:r>
          </w:p>
        </w:tc>
        <w:tc>
          <w:tcPr>
            <w:tcW w:type="dxa" w:w="4968"/>
            <w:tcMar>
              <w:top w:w="100" w:type="dxa"/>
              <w:start w:w="120" w:type="dxa"/>
              <w:bottom w:w="100" w:type="dxa"/>
              <w:end w:w="120" w:type="dxa"/>
            </w:tcMar>
            <w:vAlign w:val="center"/>
            <w:shd w:fill="E8EEF5"/>
          </w:tcPr>
          <w:p>
            <w:pPr>
              <w:spacing w:after="40"/>
            </w:pPr>
            <w:r>
              <w:rPr>
                <w:rFonts w:ascii="Hiragino Sans GB" w:hAnsi="Hiragino Sans GB" w:eastAsia="Hiragino Sans GB"/>
                <w:b/>
              </w:rPr>
              <w:t>流程规则</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结项审批</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发起人提交结项后，依次由任务负责人上级、父级任务负责人（如有）审批。</w:t>
            </w:r>
          </w:p>
        </w:tc>
      </w:tr>
      <w:tr>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结项评价</w:t>
            </w:r>
          </w:p>
        </w:tc>
        <w:tc>
          <w:tcPr>
            <w:tcW w:type="dxa" w:w="4968"/>
            <w:tcMar>
              <w:top w:w="100" w:type="dxa"/>
              <w:start w:w="120" w:type="dxa"/>
              <w:bottom w:w="100" w:type="dxa"/>
              <w:end w:w="120" w:type="dxa"/>
            </w:tcMar>
            <w:vAlign w:val="center"/>
          </w:tcPr>
          <w:p>
            <w:pPr>
              <w:spacing w:after="40"/>
            </w:pPr>
            <w:r>
              <w:rPr>
                <w:rFonts w:ascii="Hiragino Sans GB" w:hAnsi="Hiragino Sans GB" w:eastAsia="Hiragino Sans GB"/>
              </w:rPr>
              <w:t>当前流程设计中，结项后评价由父级任务负责人承接；对于没有父级的任务，评价主体需按后续管理口径明确。</w:t>
            </w:r>
          </w:p>
        </w:tc>
      </w:tr>
    </w:tbl>
    <w:p/>
    <w:p>
      <w:pPr>
        <w:ind w:left="173"/>
        <w:shd w:fill="F1F5F9"/>
      </w:pPr>
      <w:r>
        <w:rPr>
          <w:rFonts w:ascii="Hiragino Sans GB" w:hAnsi="Hiragino Sans GB" w:eastAsia="Hiragino Sans GB"/>
          <w:b/>
          <w:i w:val="0"/>
        </w:rPr>
        <w:t>结项前检查：确认任务成果已完成，补充实际结束时间、成果附件和结项说明；提交后关注流程记录，直到状态显示完成或被退回补充。</w:t>
      </w:r>
    </w:p>
    <w:p>
      <w:pPr>
        <w:jc w:val="center"/>
      </w:pPr>
      <w:r>
        <w:drawing>
          <wp:inline xmlns:a="http://schemas.openxmlformats.org/drawingml/2006/main" xmlns:pic="http://schemas.openxmlformats.org/drawingml/2006/picture">
            <wp:extent cx="5715000" cy="3230724"/>
            <wp:docPr id="25" name="Picture 25"/>
            <wp:cNvGraphicFramePr>
              <a:graphicFrameLocks noChangeAspect="1"/>
            </wp:cNvGraphicFramePr>
            <a:graphic>
              <a:graphicData uri="http://schemas.openxmlformats.org/drawingml/2006/picture">
                <pic:pic>
                  <pic:nvPicPr>
                    <pic:cNvPr id="0" name="任务详情点击发起结项.png"/>
                    <pic:cNvPicPr/>
                  </pic:nvPicPr>
                  <pic:blipFill>
                    <a:blip r:embed="rId31"/>
                    <a:stretch>
                      <a:fillRect/>
                    </a:stretch>
                  </pic:blipFill>
                  <pic:spPr>
                    <a:xfrm>
                      <a:off x="0" y="0"/>
                      <a:ext cx="5715000" cy="3230724"/>
                    </a:xfrm>
                    <a:prstGeom prst="rect"/>
                  </pic:spPr>
                </pic:pic>
              </a:graphicData>
            </a:graphic>
          </wp:inline>
        </w:drawing>
      </w:r>
    </w:p>
    <w:p>
      <w:pPr>
        <w:pStyle w:val="Heading2"/>
      </w:pPr>
      <w:r>
        <w:t>五、结果沉淀</w:t>
      </w:r>
    </w:p>
    <w:p>
      <w:r>
        <w:rPr>
          <w:rFonts w:ascii="Hiragino Sans GB" w:hAnsi="Hiragino Sans GB" w:eastAsia="Hiragino Sans GB"/>
          <w:b w:val="0"/>
          <w:i w:val="0"/>
        </w:rPr>
        <w:t>任务完成归档后，可进入评价阶段，记录评价等级、评价标签和评价意见。</w:t>
      </w:r>
    </w:p>
    <w:p>
      <w:r>
        <w:rPr>
          <w:rFonts w:ascii="Hiragino Sans GB" w:hAnsi="Hiragino Sans GB" w:eastAsia="Hiragino Sans GB"/>
          <w:b w:val="0"/>
          <w:i w:val="0"/>
        </w:rPr>
        <w:t>评价结果不会回退任务主状态，但会沉淀到任务评价记录、统计报表和绩效相关口径中。</w:t>
      </w:r>
    </w:p>
    <w:p>
      <w:pPr>
        <w:pStyle w:val="Heading1"/>
      </w:pPr>
      <w:r>
        <w:t>第六章 协作反馈</w:t>
      </w:r>
    </w:p>
    <w:p>
      <w:pPr>
        <w:pStyle w:val="Heading2"/>
      </w:pPr>
      <w:r>
        <w:t>一、协作签收</w:t>
      </w:r>
    </w:p>
    <w:p>
      <w:r>
        <w:rPr>
          <w:rFonts w:ascii="Hiragino Sans GB" w:hAnsi="Hiragino Sans GB" w:eastAsia="Hiragino Sans GB"/>
          <w:b w:val="0"/>
          <w:i w:val="0"/>
        </w:rPr>
        <w:t>协作任务与普通任务的差异，在于协作人会收到独立的待签收记录，必须显式确认是否承接。</w:t>
      </w:r>
    </w:p>
    <w:p>
      <w:pPr>
        <w:pStyle w:val="ListNumber"/>
      </w:pPr>
      <w:r>
        <w:rPr>
          <w:rFonts w:ascii="Hiragino Sans GB" w:hAnsi="Hiragino Sans GB" w:eastAsia="Hiragino Sans GB"/>
          <w:b w:val="0"/>
          <w:i w:val="0"/>
        </w:rPr>
        <w:t>进入 任务管理 &gt; 待我签收。</w:t>
      </w:r>
    </w:p>
    <w:p>
      <w:pPr>
        <w:pStyle w:val="ListNumber"/>
      </w:pPr>
      <w:r>
        <w:rPr>
          <w:rFonts w:ascii="Hiragino Sans GB" w:hAnsi="Hiragino Sans GB" w:eastAsia="Hiragino Sans GB"/>
          <w:b w:val="0"/>
          <w:i w:val="0"/>
        </w:rPr>
        <w:t>查看任务标题、来源会议、负责人、截止时间和协作要求。</w:t>
      </w:r>
    </w:p>
    <w:p>
      <w:pPr>
        <w:pStyle w:val="ListNumber"/>
      </w:pPr>
      <w:r>
        <w:rPr>
          <w:rFonts w:ascii="Hiragino Sans GB" w:hAnsi="Hiragino Sans GB" w:eastAsia="Hiragino Sans GB"/>
          <w:b w:val="0"/>
          <w:i w:val="0"/>
        </w:rPr>
        <w:t>选择签收或拒签。签收后，协作关系正式生效；拒签后需填写拒签原因。</w:t>
      </w:r>
    </w:p>
    <w:p>
      <w:pPr>
        <w:ind w:left="173"/>
        <w:shd w:fill="F1F5F9"/>
      </w:pPr>
      <w:r>
        <w:rPr>
          <w:rFonts w:ascii="Hiragino Sans GB" w:hAnsi="Hiragino Sans GB" w:eastAsia="Hiragino Sans GB"/>
          <w:b/>
          <w:i w:val="0"/>
        </w:rPr>
        <w:t>完成标志：签收后任务进入“我协作的任务”或相应协作列表；如不能承接，应在拒签时填写清晰原因。</w:t>
      </w:r>
    </w:p>
    <w:p>
      <w:pPr>
        <w:jc w:val="center"/>
      </w:pPr>
      <w:r>
        <w:drawing>
          <wp:inline xmlns:a="http://schemas.openxmlformats.org/drawingml/2006/main" xmlns:pic="http://schemas.openxmlformats.org/drawingml/2006/picture">
            <wp:extent cx="5715000" cy="3230724"/>
            <wp:docPr id="26" name="Picture 26"/>
            <wp:cNvGraphicFramePr>
              <a:graphicFrameLocks noChangeAspect="1"/>
            </wp:cNvGraphicFramePr>
            <a:graphic>
              <a:graphicData uri="http://schemas.openxmlformats.org/drawingml/2006/picture">
                <pic:pic>
                  <pic:nvPicPr>
                    <pic:cNvPr id="0" name="待签收台账列表.png"/>
                    <pic:cNvPicPr/>
                  </pic:nvPicPr>
                  <pic:blipFill>
                    <a:blip r:embed="rId32"/>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27" name="Picture 27"/>
            <wp:cNvGraphicFramePr>
              <a:graphicFrameLocks noChangeAspect="1"/>
            </wp:cNvGraphicFramePr>
            <a:graphic>
              <a:graphicData uri="http://schemas.openxmlformats.org/drawingml/2006/picture">
                <pic:pic>
                  <pic:nvPicPr>
                    <pic:cNvPr id="0" name="签收确认弹窗.png"/>
                    <pic:cNvPicPr/>
                  </pic:nvPicPr>
                  <pic:blipFill>
                    <a:blip r:embed="rId33"/>
                    <a:stretch>
                      <a:fillRect/>
                    </a:stretch>
                  </pic:blipFill>
                  <pic:spPr>
                    <a:xfrm>
                      <a:off x="0" y="0"/>
                      <a:ext cx="5715000" cy="3230724"/>
                    </a:xfrm>
                    <a:prstGeom prst="rect"/>
                  </pic:spPr>
                </pic:pic>
              </a:graphicData>
            </a:graphic>
          </wp:inline>
        </w:drawing>
      </w:r>
    </w:p>
    <w:p>
      <w:pPr>
        <w:pStyle w:val="Heading2"/>
      </w:pPr>
      <w:r>
        <w:t>二、拒签处理</w:t>
      </w:r>
    </w:p>
    <w:p>
      <w:r>
        <w:rPr>
          <w:rFonts w:ascii="Hiragino Sans GB" w:hAnsi="Hiragino Sans GB" w:eastAsia="Hiragino Sans GB"/>
          <w:b w:val="0"/>
          <w:i w:val="0"/>
        </w:rPr>
        <w:t>拒签并不等于任务结束，而是把任务带回到创建人和负责人视角，便于重新调整协作人选或责任边界。</w:t>
      </w:r>
    </w:p>
    <w:p>
      <w:r>
        <w:rPr>
          <w:rFonts w:ascii="Hiragino Sans GB" w:hAnsi="Hiragino Sans GB" w:eastAsia="Hiragino Sans GB"/>
          <w:b w:val="0"/>
          <w:i w:val="0"/>
        </w:rPr>
        <w:t>拒签说明会写入任务动态，建议写明拒签原因、建议承接方和后续处理建议，避免多轮反复沟通。</w:t>
      </w:r>
    </w:p>
    <w:p>
      <w:pPr>
        <w:jc w:val="center"/>
      </w:pPr>
      <w:r>
        <w:drawing>
          <wp:inline xmlns:a="http://schemas.openxmlformats.org/drawingml/2006/main" xmlns:pic="http://schemas.openxmlformats.org/drawingml/2006/picture">
            <wp:extent cx="5715000" cy="3230724"/>
            <wp:docPr id="28" name="Picture 28"/>
            <wp:cNvGraphicFramePr>
              <a:graphicFrameLocks noChangeAspect="1"/>
            </wp:cNvGraphicFramePr>
            <a:graphic>
              <a:graphicData uri="http://schemas.openxmlformats.org/drawingml/2006/picture">
                <pic:pic>
                  <pic:nvPicPr>
                    <pic:cNvPr id="0" name="拒签弹框.png"/>
                    <pic:cNvPicPr/>
                  </pic:nvPicPr>
                  <pic:blipFill>
                    <a:blip r:embed="rId34"/>
                    <a:stretch>
                      <a:fillRect/>
                    </a:stretch>
                  </pic:blipFill>
                  <pic:spPr>
                    <a:xfrm>
                      <a:off x="0" y="0"/>
                      <a:ext cx="5715000" cy="3230724"/>
                    </a:xfrm>
                    <a:prstGeom prst="rect"/>
                  </pic:spPr>
                </pic:pic>
              </a:graphicData>
            </a:graphic>
          </wp:inline>
        </w:drawing>
      </w:r>
    </w:p>
    <w:p>
      <w:pPr>
        <w:pStyle w:val="Heading2"/>
      </w:pPr>
      <w:r>
        <w:t>三、意见评论</w:t>
      </w:r>
    </w:p>
    <w:p>
      <w:pPr>
        <w:ind w:left="173"/>
        <w:shd w:fill="F1F5F9"/>
      </w:pPr>
      <w:r>
        <w:rPr>
          <w:rFonts w:ascii="Hiragino Sans GB" w:hAnsi="Hiragino Sans GB" w:eastAsia="Hiragino Sans GB"/>
          <w:b/>
          <w:i w:val="0"/>
        </w:rPr>
        <w:t>当前状态：当前版本已支持任务详情中的基础评论功能；会议领导指导意见的识别、来源信息和评论联动尚未上线，以下内容属于规划说明，不作为当前版本的实际操作步骤。</w:t>
      </w:r>
    </w:p>
    <w:p>
      <w:r>
        <w:rPr>
          <w:rFonts w:ascii="Hiragino Sans GB" w:hAnsi="Hiragino Sans GB" w:eastAsia="Hiragino Sans GB"/>
          <w:b w:val="0"/>
          <w:i w:val="0"/>
        </w:rPr>
        <w:t>规划上，会议中识别并确认后的指导意见将以特殊评论样式展示在任务详情中，保留来源会议、发言领导、来源片段和是否需反馈信息。</w:t>
      </w:r>
    </w:p>
    <w:p>
      <w:r>
        <w:rPr>
          <w:rFonts w:ascii="Hiragino Sans GB" w:hAnsi="Hiragino Sans GB" w:eastAsia="Hiragino Sans GB"/>
          <w:b w:val="0"/>
          <w:i w:val="0"/>
        </w:rPr>
        <w:t>该联动能力上线后，可让指导意见与任务执行过程处在同一上下文中，避免分散在独立纪要文件里难以持续跟进。</w:t>
      </w:r>
    </w:p>
    <w:p>
      <w:pPr>
        <w:jc w:val="center"/>
      </w:pPr>
      <w:r>
        <w:drawing>
          <wp:inline xmlns:a="http://schemas.openxmlformats.org/drawingml/2006/main" xmlns:pic="http://schemas.openxmlformats.org/drawingml/2006/picture">
            <wp:extent cx="5715000" cy="3230724"/>
            <wp:docPr id="29" name="Picture 29"/>
            <wp:cNvGraphicFramePr>
              <a:graphicFrameLocks noChangeAspect="1"/>
            </wp:cNvGraphicFramePr>
            <a:graphic>
              <a:graphicData uri="http://schemas.openxmlformats.org/drawingml/2006/picture">
                <pic:pic>
                  <pic:nvPicPr>
                    <pic:cNvPr id="0" name="任务详情意见评论.png"/>
                    <pic:cNvPicPr/>
                  </pic:nvPicPr>
                  <pic:blipFill>
                    <a:blip r:embed="rId35"/>
                    <a:stretch>
                      <a:fillRect/>
                    </a:stretch>
                  </pic:blipFill>
                  <pic:spPr>
                    <a:xfrm>
                      <a:off x="0" y="0"/>
                      <a:ext cx="5715000" cy="3230724"/>
                    </a:xfrm>
                    <a:prstGeom prst="rect"/>
                  </pic:spPr>
                </pic:pic>
              </a:graphicData>
            </a:graphic>
          </wp:inline>
        </w:drawing>
      </w:r>
    </w:p>
    <w:p>
      <w:pPr>
        <w:pStyle w:val="Heading2"/>
      </w:pPr>
      <w:r>
        <w:t>四、意见跟踪</w:t>
      </w:r>
    </w:p>
    <w:p>
      <w:pPr>
        <w:ind w:left="173"/>
        <w:shd w:fill="F1F5F9"/>
      </w:pPr>
      <w:r>
        <w:rPr>
          <w:rFonts w:ascii="Hiragino Sans GB" w:hAnsi="Hiragino Sans GB" w:eastAsia="Hiragino Sans GB"/>
          <w:b/>
          <w:i w:val="0"/>
        </w:rPr>
        <w:t>规划说明：意见反馈和意见跟踪池尚未上线，当前版本暂不支持以下跟踪操作；后续联动能力上线后再补充真实页面截图和最终入口。</w:t>
      </w:r>
    </w:p>
    <w:p>
      <w:pPr>
        <w:pStyle w:val="ListNumber"/>
      </w:pPr>
      <w:r>
        <w:rPr>
          <w:rFonts w:ascii="Hiragino Sans GB" w:hAnsi="Hiragino Sans GB" w:eastAsia="Hiragino Sans GB"/>
          <w:b w:val="0"/>
          <w:i w:val="0"/>
        </w:rPr>
        <w:t>规划中由任务负责人或其协调人员在指导意见下方评论回复处理进展和结果。</w:t>
      </w:r>
    </w:p>
    <w:p>
      <w:pPr>
        <w:pStyle w:val="ListNumber"/>
      </w:pPr>
      <w:r>
        <w:rPr>
          <w:rFonts w:ascii="Hiragino Sans GB" w:hAnsi="Hiragino Sans GB" w:eastAsia="Hiragino Sans GB"/>
          <w:b w:val="0"/>
          <w:i w:val="0"/>
        </w:rPr>
        <w:t>规划中被标记为“需反馈”的意见，在出现有效回复前持续保留在跟踪范围内。</w:t>
      </w:r>
    </w:p>
    <w:p>
      <w:pPr>
        <w:pStyle w:val="ListNumber"/>
      </w:pPr>
      <w:r>
        <w:rPr>
          <w:rFonts w:ascii="Hiragino Sans GB" w:hAnsi="Hiragino Sans GB" w:eastAsia="Hiragino Sans GB"/>
          <w:b w:val="0"/>
          <w:i w:val="0"/>
        </w:rPr>
        <w:t>规划中管理人员可通过“意见跟踪池”集中查看需反馈意见、反馈状态、关联任务和最新回复。</w:t>
      </w:r>
    </w:p>
    <w:p>
      <w:pPr>
        <w:ind w:left="173"/>
        <w:shd w:fill="F1F5F9"/>
      </w:pPr>
      <w:r>
        <w:rPr>
          <w:rFonts w:ascii="Hiragino Sans GB" w:hAnsi="Hiragino Sans GB" w:eastAsia="Hiragino Sans GB"/>
          <w:b/>
          <w:i w:val="0"/>
        </w:rPr>
        <w:t>完成标志：指导意见下出现有效回复，意见跟踪池中的待反馈数量减少或状态更新为已处理。</w:t>
      </w:r>
    </w:p>
    <w:p>
      <w:pPr>
        <w:pStyle w:val="Heading1"/>
      </w:pPr>
      <w:r>
        <w:t>第七章 台账异动</w:t>
      </w:r>
    </w:p>
    <w:p>
      <w:pPr>
        <w:pStyle w:val="Heading2"/>
      </w:pPr>
      <w:r>
        <w:t>一、任务台账</w:t>
      </w:r>
    </w:p>
    <w:p>
      <w:r>
        <w:rPr>
          <w:rFonts w:ascii="Hiragino Sans GB" w:hAnsi="Hiragino Sans GB" w:eastAsia="Hiragino Sans GB"/>
          <w:b w:val="0"/>
          <w:i w:val="0"/>
        </w:rPr>
        <w:t>任务台账用于按任务标题、状态、组织、负责人、来源和时间等条件统一查询任务，是管理视角的主入口。</w:t>
      </w:r>
    </w:p>
    <w:p>
      <w:pPr>
        <w:pStyle w:val="ListBullet"/>
      </w:pPr>
      <w:r>
        <w:rPr>
          <w:rFonts w:ascii="Hiragino Sans GB" w:hAnsi="Hiragino Sans GB" w:eastAsia="Hiragino Sans GB"/>
          <w:b w:val="0"/>
          <w:i w:val="0"/>
        </w:rPr>
        <w:t>可结合筛选、排序、分组、列表视图、树视图和任务架构脑图视图观察任务分布。</w:t>
      </w:r>
    </w:p>
    <w:p>
      <w:pPr>
        <w:pStyle w:val="ListBullet"/>
      </w:pPr>
      <w:r>
        <w:rPr>
          <w:rFonts w:ascii="Hiragino Sans GB" w:hAnsi="Hiragino Sans GB" w:eastAsia="Hiragino Sans GB"/>
          <w:b w:val="0"/>
          <w:i w:val="0"/>
        </w:rPr>
        <w:t>当需要盘点重点任务、识别超期任务或追踪会议事项落地情况时，应优先使用任务台账。</w:t>
      </w:r>
    </w:p>
    <w:p>
      <w:pPr>
        <w:pStyle w:val="ListBullet"/>
      </w:pPr>
      <w:r>
        <w:rPr>
          <w:rFonts w:ascii="Hiragino Sans GB" w:hAnsi="Hiragino Sans GB" w:eastAsia="Hiragino Sans GB"/>
          <w:b w:val="0"/>
          <w:i w:val="0"/>
        </w:rPr>
        <w:t>勾选任务后可使用批量操作；点击 新增任务 可直接打开任务创建抽屉，适合从台账连续创建任务。</w:t>
      </w:r>
    </w:p>
    <w:p>
      <w:pPr>
        <w:jc w:val="center"/>
      </w:pPr>
      <w:r>
        <w:drawing>
          <wp:inline xmlns:a="http://schemas.openxmlformats.org/drawingml/2006/main" xmlns:pic="http://schemas.openxmlformats.org/drawingml/2006/picture">
            <wp:extent cx="5715000" cy="3230724"/>
            <wp:docPr id="30" name="Picture 30"/>
            <wp:cNvGraphicFramePr>
              <a:graphicFrameLocks noChangeAspect="1"/>
            </wp:cNvGraphicFramePr>
            <a:graphic>
              <a:graphicData uri="http://schemas.openxmlformats.org/drawingml/2006/picture">
                <pic:pic>
                  <pic:nvPicPr>
                    <pic:cNvPr id="0" name="任务台账列表页.png"/>
                    <pic:cNvPicPr/>
                  </pic:nvPicPr>
                  <pic:blipFill>
                    <a:blip r:embed="rId36"/>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31" name="Picture 31"/>
            <wp:cNvGraphicFramePr>
              <a:graphicFrameLocks noChangeAspect="1"/>
            </wp:cNvGraphicFramePr>
            <a:graphic>
              <a:graphicData uri="http://schemas.openxmlformats.org/drawingml/2006/picture">
                <pic:pic>
                  <pic:nvPicPr>
                    <pic:cNvPr id="0" name="任务台账列表并勾选批量操作按钮.png"/>
                    <pic:cNvPicPr/>
                  </pic:nvPicPr>
                  <pic:blipFill>
                    <a:blip r:embed="rId37"/>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32" name="Picture 32"/>
            <wp:cNvGraphicFramePr>
              <a:graphicFrameLocks noChangeAspect="1"/>
            </wp:cNvGraphicFramePr>
            <a:graphic>
              <a:graphicData uri="http://schemas.openxmlformats.org/drawingml/2006/picture">
                <pic:pic>
                  <pic:nvPicPr>
                    <pic:cNvPr id="0" name="任务台账列表并勾选批量新增.png"/>
                    <pic:cNvPicPr/>
                  </pic:nvPicPr>
                  <pic:blipFill>
                    <a:blip r:embed="rId38"/>
                    <a:stretch>
                      <a:fillRect/>
                    </a:stretch>
                  </pic:blipFill>
                  <pic:spPr>
                    <a:xfrm>
                      <a:off x="0" y="0"/>
                      <a:ext cx="5715000" cy="3230724"/>
                    </a:xfrm>
                    <a:prstGeom prst="rect"/>
                  </pic:spPr>
                </pic:pic>
              </a:graphicData>
            </a:graphic>
          </wp:inline>
        </w:drawing>
      </w:r>
    </w:p>
    <w:p>
      <w:pPr>
        <w:pStyle w:val="Heading2"/>
      </w:pPr>
      <w:r>
        <w:t>二、会议追溯</w:t>
      </w:r>
    </w:p>
    <w:p>
      <w:r>
        <w:rPr>
          <w:rFonts w:ascii="Hiragino Sans GB" w:hAnsi="Hiragino Sans GB" w:eastAsia="Hiragino Sans GB"/>
          <w:b w:val="0"/>
          <w:i w:val="0"/>
        </w:rPr>
        <w:t>会议台账负责从会议视角追踪任务，任务详情负责从任务视角回溯会议来源。两者结合后，能较完整地还原“这条任务是从哪次会议来的、目前落实到什么程度”。</w:t>
      </w:r>
    </w:p>
    <w:p>
      <w:pPr>
        <w:pStyle w:val="ListNumber"/>
      </w:pPr>
      <w:r>
        <w:rPr>
          <w:rFonts w:ascii="Hiragino Sans GB" w:hAnsi="Hiragino Sans GB" w:eastAsia="Hiragino Sans GB"/>
          <w:b w:val="0"/>
          <w:i w:val="0"/>
        </w:rPr>
        <w:t>在会议台账列表中定位目标会议，点击操作列的详情入口。</w:t>
      </w:r>
    </w:p>
    <w:p>
      <w:pPr>
        <w:pStyle w:val="ListNumber"/>
      </w:pPr>
      <w:r>
        <w:rPr>
          <w:rFonts w:ascii="Hiragino Sans GB" w:hAnsi="Hiragino Sans GB" w:eastAsia="Hiragino Sans GB"/>
          <w:b w:val="0"/>
          <w:i w:val="0"/>
        </w:rPr>
        <w:t>进入会议详情后，先查看会议基础信息和操作动态，再切换会议相关标签。</w:t>
      </w:r>
    </w:p>
    <w:p>
      <w:pPr>
        <w:pStyle w:val="ListNumber"/>
      </w:pPr>
      <w:r>
        <w:rPr>
          <w:rFonts w:ascii="Hiragino Sans GB" w:hAnsi="Hiragino Sans GB" w:eastAsia="Hiragino Sans GB"/>
          <w:b w:val="0"/>
          <w:i w:val="0"/>
        </w:rPr>
        <w:t>通过 关联任务 查看会议已经生成或关联的任务，继续追踪任务状态和执行结果。</w:t>
      </w:r>
    </w:p>
    <w:p>
      <w:pPr>
        <w:pStyle w:val="Heading2"/>
      </w:pPr>
      <w:r>
        <w:t>三、任务架构</w:t>
      </w:r>
    </w:p>
    <w:p>
      <w:r>
        <w:rPr>
          <w:rFonts w:ascii="Hiragino Sans GB" w:hAnsi="Hiragino Sans GB" w:eastAsia="Hiragino Sans GB"/>
          <w:b w:val="0"/>
          <w:i w:val="0"/>
        </w:rPr>
        <w:t>如果任务存在上级任务或子任务，可在任务详情和台账脑图中查看层级结构。</w:t>
      </w:r>
    </w:p>
    <w:p>
      <w:r>
        <w:rPr>
          <w:rFonts w:ascii="Hiragino Sans GB" w:hAnsi="Hiragino Sans GB" w:eastAsia="Hiragino Sans GB"/>
          <w:b w:val="0"/>
          <w:i w:val="0"/>
        </w:rPr>
        <w:t>建议在管理复盘和专题汇报时用任务架构视图展示拆解关系，而不是只看平铺列表。</w:t>
      </w:r>
    </w:p>
    <w:p>
      <w:r>
        <w:rPr>
          <w:rFonts w:ascii="Hiragino Sans GB" w:hAnsi="Hiragino Sans GB" w:eastAsia="Hiragino Sans GB"/>
          <w:b w:val="0"/>
          <w:i w:val="0"/>
        </w:rPr>
        <w:t>任务详情中的 任务架构 标签适合查看当前任务上下级关系；台账中的树视图或思维导图适合从全局展开根任务和层级节点。</w:t>
      </w:r>
    </w:p>
    <w:p>
      <w:pPr>
        <w:pStyle w:val="Heading2"/>
      </w:pPr>
      <w:r>
        <w:t>四、中止移交</w:t>
      </w:r>
    </w:p>
    <w:p>
      <w:r>
        <w:rPr>
          <w:rFonts w:ascii="Hiragino Sans GB" w:hAnsi="Hiragino Sans GB" w:eastAsia="Hiragino Sans GB"/>
          <w:b w:val="0"/>
          <w:i w:val="0"/>
        </w:rPr>
        <w:t>当任务因外部原因不再继续，或责任人发生变化时，可在台账或任务详情中发起中止或移交。</w:t>
      </w:r>
    </w:p>
    <w:p>
      <w:pPr>
        <w:pStyle w:val="ListBullet"/>
      </w:pPr>
      <w:r>
        <w:rPr>
          <w:rFonts w:ascii="Hiragino Sans GB" w:hAnsi="Hiragino Sans GB" w:eastAsia="Hiragino Sans GB"/>
          <w:b w:val="0"/>
          <w:i w:val="0"/>
        </w:rPr>
        <w:t>任务中止：记录中止原因，保留来源会议、反馈、附件和流程历史。</w:t>
      </w:r>
    </w:p>
    <w:p>
      <w:pPr>
        <w:pStyle w:val="ListBullet"/>
      </w:pPr>
      <w:r>
        <w:rPr>
          <w:rFonts w:ascii="Hiragino Sans GB" w:hAnsi="Hiragino Sans GB" w:eastAsia="Hiragino Sans GB"/>
          <w:b w:val="0"/>
          <w:i w:val="0"/>
        </w:rPr>
        <w:t>任务移交：把任务责任迁给指定人员，同时保留移交过程和责任变化记录。</w:t>
      </w:r>
    </w:p>
    <w:p>
      <w:r>
        <w:rPr>
          <w:rFonts w:ascii="Hiragino Sans GB" w:hAnsi="Hiragino Sans GB" w:eastAsia="Hiragino Sans GB"/>
          <w:b w:val="0"/>
          <w:i w:val="0"/>
        </w:rPr>
        <w:t>发起移交后会打开“选择人员”弹窗，可按企业组织或项目组织定位人员，也可通过账号、用户名或手机号搜索；选中承接人后点击确定，再提交移交动作。</w:t>
      </w:r>
    </w:p>
    <w:p>
      <w:pPr>
        <w:jc w:val="center"/>
      </w:pPr>
      <w:r>
        <w:drawing>
          <wp:inline xmlns:a="http://schemas.openxmlformats.org/drawingml/2006/main" xmlns:pic="http://schemas.openxmlformats.org/drawingml/2006/picture">
            <wp:extent cx="5715000" cy="3230724"/>
            <wp:docPr id="33" name="Picture 33"/>
            <wp:cNvGraphicFramePr>
              <a:graphicFrameLocks noChangeAspect="1"/>
            </wp:cNvGraphicFramePr>
            <a:graphic>
              <a:graphicData uri="http://schemas.openxmlformats.org/drawingml/2006/picture">
                <pic:pic>
                  <pic:nvPicPr>
                    <pic:cNvPr id="0" name="任务详情点击中止.png"/>
                    <pic:cNvPicPr/>
                  </pic:nvPicPr>
                  <pic:blipFill>
                    <a:blip r:embed="rId39"/>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34" name="Picture 34"/>
            <wp:cNvGraphicFramePr>
              <a:graphicFrameLocks noChangeAspect="1"/>
            </wp:cNvGraphicFramePr>
            <a:graphic>
              <a:graphicData uri="http://schemas.openxmlformats.org/drawingml/2006/picture">
                <pic:pic>
                  <pic:nvPicPr>
                    <pic:cNvPr id="0" name="任务列表点击移交按钮出现选人弹出框.png"/>
                    <pic:cNvPicPr/>
                  </pic:nvPicPr>
                  <pic:blipFill>
                    <a:blip r:embed="rId40"/>
                    <a:stretch>
                      <a:fillRect/>
                    </a:stretch>
                  </pic:blipFill>
                  <pic:spPr>
                    <a:xfrm>
                      <a:off x="0" y="0"/>
                      <a:ext cx="5715000" cy="3230724"/>
                    </a:xfrm>
                    <a:prstGeom prst="rect"/>
                  </pic:spPr>
                </pic:pic>
              </a:graphicData>
            </a:graphic>
          </wp:inline>
        </w:drawing>
      </w:r>
    </w:p>
    <w:p>
      <w:pPr>
        <w:pStyle w:val="Heading2"/>
      </w:pPr>
      <w:r>
        <w:t>五、离职继承</w:t>
      </w:r>
    </w:p>
    <w:p>
      <w:r>
        <w:rPr>
          <w:rFonts w:ascii="Hiragino Sans GB" w:hAnsi="Hiragino Sans GB" w:eastAsia="Hiragino Sans GB"/>
          <w:b w:val="0"/>
          <w:i w:val="0"/>
        </w:rPr>
        <w:t>当人员离岗或岗位调整时，可通过离职继承能力把其名下任务批量迁移给新的承接人，保障责任连续。</w:t>
      </w:r>
    </w:p>
    <w:p>
      <w:r>
        <w:rPr>
          <w:rFonts w:ascii="Hiragino Sans GB" w:hAnsi="Hiragino Sans GB" w:eastAsia="Hiragino Sans GB"/>
          <w:b w:val="0"/>
          <w:i w:val="0"/>
        </w:rPr>
        <w:t>此外，台账还可支撑批量关注、批量移交、导出等管理动作，适合集中清理和专项推进。</w:t>
      </w:r>
    </w:p>
    <w:p>
      <w:pPr>
        <w:jc w:val="center"/>
      </w:pPr>
      <w:r>
        <w:drawing>
          <wp:inline xmlns:a="http://schemas.openxmlformats.org/drawingml/2006/main" xmlns:pic="http://schemas.openxmlformats.org/drawingml/2006/picture">
            <wp:extent cx="5715000" cy="3230724"/>
            <wp:docPr id="35" name="Picture 35"/>
            <wp:cNvGraphicFramePr>
              <a:graphicFrameLocks noChangeAspect="1"/>
            </wp:cNvGraphicFramePr>
            <a:graphic>
              <a:graphicData uri="http://schemas.openxmlformats.org/drawingml/2006/picture">
                <pic:pic>
                  <pic:nvPicPr>
                    <pic:cNvPr id="0" name="任务台账离职继承勾选.png"/>
                    <pic:cNvPicPr/>
                  </pic:nvPicPr>
                  <pic:blipFill>
                    <a:blip r:embed="rId41"/>
                    <a:stretch>
                      <a:fillRect/>
                    </a:stretch>
                  </pic:blipFill>
                  <pic:spPr>
                    <a:xfrm>
                      <a:off x="0" y="0"/>
                      <a:ext cx="5715000" cy="3230724"/>
                    </a:xfrm>
                    <a:prstGeom prst="rect"/>
                  </pic:spPr>
                </pic:pic>
              </a:graphicData>
            </a:graphic>
          </wp:inline>
        </w:drawing>
      </w:r>
    </w:p>
    <w:p>
      <w:pPr>
        <w:jc w:val="center"/>
      </w:pPr>
      <w:r>
        <w:drawing>
          <wp:inline xmlns:a="http://schemas.openxmlformats.org/drawingml/2006/main" xmlns:pic="http://schemas.openxmlformats.org/drawingml/2006/picture">
            <wp:extent cx="5715000" cy="3230724"/>
            <wp:docPr id="36" name="Picture 36"/>
            <wp:cNvGraphicFramePr>
              <a:graphicFrameLocks noChangeAspect="1"/>
            </wp:cNvGraphicFramePr>
            <a:graphic>
              <a:graphicData uri="http://schemas.openxmlformats.org/drawingml/2006/picture">
                <pic:pic>
                  <pic:nvPicPr>
                    <pic:cNvPr id="0" name="任务台账选择继承人员.png"/>
                    <pic:cNvPicPr/>
                  </pic:nvPicPr>
                  <pic:blipFill>
                    <a:blip r:embed="rId42"/>
                    <a:stretch>
                      <a:fillRect/>
                    </a:stretch>
                  </pic:blipFill>
                  <pic:spPr>
                    <a:xfrm>
                      <a:off x="0" y="0"/>
                      <a:ext cx="5715000" cy="3230724"/>
                    </a:xfrm>
                    <a:prstGeom prst="rect"/>
                  </pic:spPr>
                </pic:pic>
              </a:graphicData>
            </a:graphic>
          </wp:inline>
        </w:drawing>
      </w:r>
    </w:p>
    <w:p>
      <w:pPr>
        <w:pStyle w:val="Heading1"/>
      </w:pPr>
      <w:r>
        <w:t>第八章 常见问题</w:t>
      </w:r>
    </w:p>
    <w:p>
      <w:pPr>
        <w:pStyle w:val="Heading2"/>
      </w:pPr>
      <w:r>
        <w:t>一、会议纪要</w:t>
      </w:r>
    </w:p>
    <w:p>
      <w:pPr>
        <w:spacing w:before="140"/>
      </w:pPr>
      <w:r>
        <w:rPr>
          <w:rFonts w:ascii="Hiragino Sans GB" w:hAnsi="Hiragino Sans GB" w:eastAsia="Hiragino Sans GB"/>
          <w:b/>
          <w:i w:val="0"/>
        </w:rPr>
        <w:t>1. 丰声 Next 会议为什么没有同步过来？</w:t>
      </w:r>
    </w:p>
    <w:p>
      <w:pPr>
        <w:pStyle w:val="ListNumber"/>
      </w:pPr>
      <w:r>
        <w:rPr>
          <w:rFonts w:ascii="Hiragino Sans GB" w:hAnsi="Hiragino Sans GB" w:eastAsia="Hiragino Sans GB"/>
          <w:b w:val="0"/>
          <w:i w:val="0"/>
        </w:rPr>
        <w:t>检查是否已执行会议信息同步动作。</w:t>
      </w:r>
    </w:p>
    <w:p>
      <w:pPr>
        <w:pStyle w:val="ListNumber"/>
      </w:pPr>
      <w:r>
        <w:rPr>
          <w:rFonts w:ascii="Hiragino Sans GB" w:hAnsi="Hiragino Sans GB" w:eastAsia="Hiragino Sans GB"/>
          <w:b w:val="0"/>
          <w:i w:val="0"/>
        </w:rPr>
        <w:t>检查会议来源、外部会议 ID 和同步状态是否正常。</w:t>
      </w:r>
    </w:p>
    <w:p>
      <w:pPr>
        <w:pStyle w:val="ListNumber"/>
      </w:pPr>
      <w:r>
        <w:rPr>
          <w:rFonts w:ascii="Hiragino Sans GB" w:hAnsi="Hiragino Sans GB" w:eastAsia="Hiragino Sans GB"/>
          <w:b w:val="0"/>
          <w:i w:val="0"/>
        </w:rPr>
        <w:t>检查当前账号是否有对应会议查看权限。</w:t>
      </w:r>
    </w:p>
    <w:p>
      <w:pPr>
        <w:spacing w:before="140"/>
      </w:pPr>
      <w:r>
        <w:rPr>
          <w:rFonts w:ascii="Hiragino Sans GB" w:hAnsi="Hiragino Sans GB" w:eastAsia="Hiragino Sans GB"/>
          <w:b/>
          <w:i w:val="0"/>
        </w:rPr>
        <w:t>2. 查询丰声 Next 会议时为什么会报错？</w:t>
      </w:r>
    </w:p>
    <w:p>
      <w:pPr>
        <w:pStyle w:val="ListNumber"/>
      </w:pPr>
      <w:r>
        <w:rPr>
          <w:rFonts w:ascii="Hiragino Sans GB" w:hAnsi="Hiragino Sans GB" w:eastAsia="Hiragino Sans GB"/>
          <w:b w:val="0"/>
          <w:i w:val="0"/>
        </w:rPr>
        <w:t>优先缩短查询时间范围，建议单次查询不超过 1 周，避免一次拉取过多会议数据。</w:t>
      </w:r>
    </w:p>
    <w:p>
      <w:pPr>
        <w:pStyle w:val="ListNumber"/>
      </w:pPr>
      <w:r>
        <w:rPr>
          <w:rFonts w:ascii="Hiragino Sans GB" w:hAnsi="Hiragino Sans GB" w:eastAsia="Hiragino Sans GB"/>
          <w:b w:val="0"/>
          <w:i w:val="0"/>
        </w:rPr>
        <w:t>确认发起人、会议来源等筛选条件是否必要，减少不必要的组合查询。</w:t>
      </w:r>
    </w:p>
    <w:p>
      <w:pPr>
        <w:pStyle w:val="ListNumber"/>
      </w:pPr>
      <w:r>
        <w:rPr>
          <w:rFonts w:ascii="Hiragino Sans GB" w:hAnsi="Hiragino Sans GB" w:eastAsia="Hiragino Sans GB"/>
          <w:b w:val="0"/>
          <w:i w:val="0"/>
        </w:rPr>
        <w:t>如仍然报错，可调整时间范围后重试；当前查询涉及多项接口调用，后续将持续优化查询性能和稳定性。</w:t>
      </w:r>
    </w:p>
    <w:p>
      <w:pPr>
        <w:spacing w:before="140"/>
      </w:pPr>
      <w:r>
        <w:rPr>
          <w:rFonts w:ascii="Hiragino Sans GB" w:hAnsi="Hiragino Sans GB" w:eastAsia="Hiragino Sans GB"/>
          <w:b/>
          <w:i w:val="0"/>
        </w:rPr>
        <w:t>3. 会议有纪要，但为什么还不能转任务？</w:t>
      </w:r>
    </w:p>
    <w:p>
      <w:pPr>
        <w:pStyle w:val="ListNumber"/>
      </w:pPr>
      <w:r>
        <w:rPr>
          <w:rFonts w:ascii="Hiragino Sans GB" w:hAnsi="Hiragino Sans GB" w:eastAsia="Hiragino Sans GB"/>
          <w:b w:val="0"/>
          <w:i w:val="0"/>
        </w:rPr>
        <w:t>检查纪要和会后材料是否已上传完整。</w:t>
      </w:r>
    </w:p>
    <w:p>
      <w:pPr>
        <w:pStyle w:val="ListNumber"/>
      </w:pPr>
      <w:r>
        <w:rPr>
          <w:rFonts w:ascii="Hiragino Sans GB" w:hAnsi="Hiragino Sans GB" w:eastAsia="Hiragino Sans GB"/>
          <w:b w:val="0"/>
          <w:i w:val="0"/>
        </w:rPr>
        <w:t>检查 AI 解析待办是否已执行并生成可编辑待办结果。</w:t>
      </w:r>
    </w:p>
    <w:p>
      <w:pPr>
        <w:pStyle w:val="ListNumber"/>
      </w:pPr>
      <w:r>
        <w:rPr>
          <w:rFonts w:ascii="Hiragino Sans GB" w:hAnsi="Hiragino Sans GB" w:eastAsia="Hiragino Sans GB"/>
          <w:b w:val="0"/>
          <w:i w:val="0"/>
        </w:rPr>
        <w:t>检查待办是否已完成任务匹配或新建任务处理。</w:t>
      </w:r>
    </w:p>
    <w:p>
      <w:pPr>
        <w:pStyle w:val="Heading2"/>
      </w:pPr>
      <w:r>
        <w:t>二、创建发布</w:t>
      </w:r>
    </w:p>
    <w:p>
      <w:pPr>
        <w:spacing w:before="140"/>
      </w:pPr>
      <w:r>
        <w:rPr>
          <w:rFonts w:ascii="Hiragino Sans GB" w:hAnsi="Hiragino Sans GB" w:eastAsia="Hiragino Sans GB"/>
          <w:b/>
          <w:i w:val="0"/>
        </w:rPr>
        <w:t>1. 任务为什么一直停留在草稿？</w:t>
      </w:r>
    </w:p>
    <w:p>
      <w:pPr>
        <w:pStyle w:val="ListNumber"/>
      </w:pPr>
      <w:r>
        <w:rPr>
          <w:rFonts w:ascii="Hiragino Sans GB" w:hAnsi="Hiragino Sans GB" w:eastAsia="Hiragino Sans GB"/>
          <w:b w:val="0"/>
          <w:i w:val="0"/>
        </w:rPr>
        <w:t>检查是否只执行了保存草稿，没有提交发布。</w:t>
      </w:r>
    </w:p>
    <w:p>
      <w:pPr>
        <w:pStyle w:val="ListNumber"/>
      </w:pPr>
      <w:r>
        <w:rPr>
          <w:rFonts w:ascii="Hiragino Sans GB" w:hAnsi="Hiragino Sans GB" w:eastAsia="Hiragino Sans GB"/>
          <w:b w:val="0"/>
          <w:i w:val="0"/>
        </w:rPr>
        <w:t>检查标题、负责人、计划时间等必填项是否补齐。</w:t>
      </w:r>
    </w:p>
    <w:p>
      <w:pPr>
        <w:pStyle w:val="ListNumber"/>
      </w:pPr>
      <w:r>
        <w:rPr>
          <w:rFonts w:ascii="Hiragino Sans GB" w:hAnsi="Hiragino Sans GB" w:eastAsia="Hiragino Sans GB"/>
          <w:b w:val="0"/>
          <w:i w:val="0"/>
        </w:rPr>
        <w:t>检查是否命中流程规则但流程未成功发起。</w:t>
      </w:r>
    </w:p>
    <w:p>
      <w:pPr>
        <w:spacing w:before="140"/>
      </w:pPr>
      <w:r>
        <w:rPr>
          <w:rFonts w:ascii="Hiragino Sans GB" w:hAnsi="Hiragino Sans GB" w:eastAsia="Hiragino Sans GB"/>
          <w:b/>
          <w:i w:val="0"/>
        </w:rPr>
        <w:t>2. 协作任务为什么没有出现在协作人的待签收里？</w:t>
      </w:r>
    </w:p>
    <w:p>
      <w:pPr>
        <w:pStyle w:val="ListNumber"/>
      </w:pPr>
      <w:r>
        <w:rPr>
          <w:rFonts w:ascii="Hiragino Sans GB" w:hAnsi="Hiragino Sans GB" w:eastAsia="Hiragino Sans GB"/>
          <w:b w:val="0"/>
          <w:i w:val="0"/>
        </w:rPr>
        <w:t>检查任务是否确实维护了协作人。</w:t>
      </w:r>
    </w:p>
    <w:p>
      <w:pPr>
        <w:pStyle w:val="ListNumber"/>
      </w:pPr>
      <w:r>
        <w:rPr>
          <w:rFonts w:ascii="Hiragino Sans GB" w:hAnsi="Hiragino Sans GB" w:eastAsia="Hiragino Sans GB"/>
          <w:b w:val="0"/>
          <w:i w:val="0"/>
        </w:rPr>
        <w:t>检查协作任务提交审批是否已通过。</w:t>
      </w:r>
    </w:p>
    <w:p>
      <w:pPr>
        <w:pStyle w:val="ListNumber"/>
      </w:pPr>
      <w:r>
        <w:rPr>
          <w:rFonts w:ascii="Hiragino Sans GB" w:hAnsi="Hiragino Sans GB" w:eastAsia="Hiragino Sans GB"/>
          <w:b w:val="0"/>
          <w:i w:val="0"/>
        </w:rPr>
        <w:t>检查协作人是否具备对应菜单与数据权限。</w:t>
      </w:r>
    </w:p>
    <w:p>
      <w:pPr>
        <w:pStyle w:val="Heading2"/>
      </w:pPr>
      <w:r>
        <w:t>三、执行结项</w:t>
      </w:r>
    </w:p>
    <w:p>
      <w:pPr>
        <w:spacing w:before="140"/>
      </w:pPr>
      <w:r>
        <w:rPr>
          <w:rFonts w:ascii="Hiragino Sans GB" w:hAnsi="Hiragino Sans GB" w:eastAsia="Hiragino Sans GB"/>
          <w:b/>
          <w:i w:val="0"/>
        </w:rPr>
        <w:t>1. 提交反馈后为什么任务状态没变化？</w:t>
      </w:r>
    </w:p>
    <w:p>
      <w:pPr>
        <w:pStyle w:val="ListNumber"/>
      </w:pPr>
      <w:r>
        <w:rPr>
          <w:rFonts w:ascii="Hiragino Sans GB" w:hAnsi="Hiragino Sans GB" w:eastAsia="Hiragino Sans GB"/>
          <w:b w:val="0"/>
          <w:i w:val="0"/>
        </w:rPr>
        <w:t>普通进度反馈通常只更新进度和动态，不一定改变主状态。</w:t>
      </w:r>
    </w:p>
    <w:p>
      <w:pPr>
        <w:pStyle w:val="ListNumber"/>
      </w:pPr>
      <w:r>
        <w:rPr>
          <w:rFonts w:ascii="Hiragino Sans GB" w:hAnsi="Hiragino Sans GB" w:eastAsia="Hiragino Sans GB"/>
          <w:b w:val="0"/>
          <w:i w:val="0"/>
        </w:rPr>
        <w:t>如需从执行态进入结果态，应发起结项反馈并完成审批。</w:t>
      </w:r>
    </w:p>
    <w:p>
      <w:pPr>
        <w:spacing w:before="140"/>
      </w:pPr>
      <w:r>
        <w:rPr>
          <w:rFonts w:ascii="Hiragino Sans GB" w:hAnsi="Hiragino Sans GB" w:eastAsia="Hiragino Sans GB"/>
          <w:b/>
          <w:i w:val="0"/>
        </w:rPr>
        <w:t>2. 结项为什么被驳回？</w:t>
      </w:r>
    </w:p>
    <w:p>
      <w:pPr>
        <w:pStyle w:val="ListNumber"/>
      </w:pPr>
      <w:r>
        <w:rPr>
          <w:rFonts w:ascii="Hiragino Sans GB" w:hAnsi="Hiragino Sans GB" w:eastAsia="Hiragino Sans GB"/>
          <w:b w:val="0"/>
          <w:i w:val="0"/>
        </w:rPr>
        <w:t>检查是否上传了必要成果附件。</w:t>
      </w:r>
    </w:p>
    <w:p>
      <w:pPr>
        <w:pStyle w:val="ListNumber"/>
      </w:pPr>
      <w:r>
        <w:rPr>
          <w:rFonts w:ascii="Hiragino Sans GB" w:hAnsi="Hiragino Sans GB" w:eastAsia="Hiragino Sans GB"/>
          <w:b w:val="0"/>
          <w:i w:val="0"/>
        </w:rPr>
        <w:t>检查结项说明是否足以证明任务已完成。</w:t>
      </w:r>
    </w:p>
    <w:p>
      <w:pPr>
        <w:pStyle w:val="ListNumber"/>
      </w:pPr>
      <w:r>
        <w:rPr>
          <w:rFonts w:ascii="Hiragino Sans GB" w:hAnsi="Hiragino Sans GB" w:eastAsia="Hiragino Sans GB"/>
          <w:b w:val="0"/>
          <w:i w:val="0"/>
        </w:rPr>
        <w:t>检查实际结束时间、责任边界和完成口径是否清晰。</w:t>
      </w:r>
    </w:p>
    <w:p>
      <w:pPr>
        <w:pStyle w:val="Heading2"/>
      </w:pPr>
      <w:r>
        <w:t>四、意见协作</w:t>
      </w:r>
    </w:p>
    <w:p>
      <w:pPr>
        <w:spacing w:before="140"/>
      </w:pPr>
      <w:r>
        <w:rPr>
          <w:rFonts w:ascii="Hiragino Sans GB" w:hAnsi="Hiragino Sans GB" w:eastAsia="Hiragino Sans GB"/>
          <w:b/>
          <w:i w:val="0"/>
        </w:rPr>
        <w:t>1. 指导意见为什么没有进入跟踪池？</w:t>
      </w:r>
    </w:p>
    <w:p>
      <w:pPr>
        <w:pStyle w:val="ListNumber"/>
      </w:pPr>
      <w:r>
        <w:rPr>
          <w:rFonts w:ascii="Hiragino Sans GB" w:hAnsi="Hiragino Sans GB" w:eastAsia="Hiragino Sans GB"/>
          <w:b w:val="0"/>
          <w:i w:val="0"/>
        </w:rPr>
        <w:t>检查是否在确认保存时标记了“需反馈”。</w:t>
      </w:r>
    </w:p>
    <w:p>
      <w:pPr>
        <w:pStyle w:val="ListNumber"/>
      </w:pPr>
      <w:r>
        <w:rPr>
          <w:rFonts w:ascii="Hiragino Sans GB" w:hAnsi="Hiragino Sans GB" w:eastAsia="Hiragino Sans GB"/>
          <w:b w:val="0"/>
          <w:i w:val="0"/>
        </w:rPr>
        <w:t>检查该意见是否已经存在有效回复，已回复时可能不再作为待处理重点。</w:t>
      </w:r>
    </w:p>
    <w:p>
      <w:pPr>
        <w:spacing w:before="140"/>
      </w:pPr>
      <w:r>
        <w:rPr>
          <w:rFonts w:ascii="Hiragino Sans GB" w:hAnsi="Hiragino Sans GB" w:eastAsia="Hiragino Sans GB"/>
          <w:b/>
          <w:i w:val="0"/>
        </w:rPr>
        <w:t>2. 协作人拒签后应该怎么处理？</w:t>
      </w:r>
    </w:p>
    <w:p>
      <w:pPr>
        <w:pStyle w:val="ListNumber"/>
      </w:pPr>
      <w:r>
        <w:rPr>
          <w:rFonts w:ascii="Hiragino Sans GB" w:hAnsi="Hiragino Sans GB" w:eastAsia="Hiragino Sans GB"/>
          <w:b w:val="0"/>
          <w:i w:val="0"/>
        </w:rPr>
        <w:t>先查看拒签原因是否属于责任边界不清、时间冲突或人选错误。</w:t>
      </w:r>
    </w:p>
    <w:p>
      <w:pPr>
        <w:pStyle w:val="ListNumber"/>
      </w:pPr>
      <w:r>
        <w:rPr>
          <w:rFonts w:ascii="Hiragino Sans GB" w:hAnsi="Hiragino Sans GB" w:eastAsia="Hiragino Sans GB"/>
          <w:b w:val="0"/>
          <w:i w:val="0"/>
        </w:rPr>
        <w:t>必要时重新调整协作关系、负责人或任务描述后再提交。</w:t>
      </w:r>
    </w:p>
    <w:p>
      <w:pPr>
        <w:pStyle w:val="Heading2"/>
      </w:pPr>
      <w:r>
        <w:t>五、台账追溯</w:t>
      </w:r>
    </w:p>
    <w:p>
      <w:pPr>
        <w:spacing w:before="140"/>
      </w:pPr>
      <w:r>
        <w:rPr>
          <w:rFonts w:ascii="Hiragino Sans GB" w:hAnsi="Hiragino Sans GB" w:eastAsia="Hiragino Sans GB"/>
          <w:b/>
          <w:i w:val="0"/>
        </w:rPr>
        <w:t>1. 为什么在台账里看不到某条任务？</w:t>
      </w:r>
    </w:p>
    <w:p>
      <w:pPr>
        <w:pStyle w:val="ListNumber"/>
      </w:pPr>
      <w:r>
        <w:rPr>
          <w:rFonts w:ascii="Hiragino Sans GB" w:hAnsi="Hiragino Sans GB" w:eastAsia="Hiragino Sans GB"/>
          <w:b w:val="0"/>
          <w:i w:val="0"/>
        </w:rPr>
        <w:t>检查当前筛选条件是否限制了状态、负责人或时间范围。</w:t>
      </w:r>
    </w:p>
    <w:p>
      <w:pPr>
        <w:pStyle w:val="ListNumber"/>
      </w:pPr>
      <w:r>
        <w:rPr>
          <w:rFonts w:ascii="Hiragino Sans GB" w:hAnsi="Hiragino Sans GB" w:eastAsia="Hiragino Sans GB"/>
          <w:b w:val="0"/>
          <w:i w:val="0"/>
        </w:rPr>
        <w:t>检查任务是否仍停留在草稿，草稿任务可能不在正式台账范围内。</w:t>
      </w:r>
    </w:p>
    <w:p>
      <w:pPr>
        <w:pStyle w:val="ListNumber"/>
      </w:pPr>
      <w:r>
        <w:rPr>
          <w:rFonts w:ascii="Hiragino Sans GB" w:hAnsi="Hiragino Sans GB" w:eastAsia="Hiragino Sans GB"/>
          <w:b w:val="0"/>
          <w:i w:val="0"/>
        </w:rPr>
        <w:t>检查当前人员是否有查看该任务的组织或项目权限。</w:t>
      </w:r>
    </w:p>
    <w:p>
      <w:pPr>
        <w:spacing w:before="140"/>
      </w:pPr>
      <w:r>
        <w:rPr>
          <w:rFonts w:ascii="Hiragino Sans GB" w:hAnsi="Hiragino Sans GB" w:eastAsia="Hiragino Sans GB"/>
          <w:b/>
          <w:i w:val="0"/>
        </w:rPr>
        <w:t>2. 如何确认任务是从哪次会议来的？</w:t>
      </w:r>
    </w:p>
    <w:p>
      <w:pPr>
        <w:pStyle w:val="ListNumber"/>
      </w:pPr>
      <w:r>
        <w:rPr>
          <w:rFonts w:ascii="Hiragino Sans GB" w:hAnsi="Hiragino Sans GB" w:eastAsia="Hiragino Sans GB"/>
          <w:b w:val="0"/>
          <w:i w:val="0"/>
        </w:rPr>
        <w:t>进入任务详情查看来源会议、关联业务和任务动态。</w:t>
      </w:r>
    </w:p>
    <w:p>
      <w:pPr>
        <w:pStyle w:val="ListNumber"/>
      </w:pPr>
      <w:r>
        <w:rPr>
          <w:rFonts w:ascii="Hiragino Sans GB" w:hAnsi="Hiragino Sans GB" w:eastAsia="Hiragino Sans GB"/>
          <w:b w:val="0"/>
          <w:i w:val="0"/>
        </w:rPr>
        <w:t>必要时回到会议台账查看会议详情中的关联任务入口。</w:t>
      </w:r>
    </w:p>
    <w:p>
      <w:pPr>
        <w:pStyle w:val="Heading2"/>
      </w:pPr>
      <w:r>
        <w:t>六、浏览器与语音输入</w:t>
      </w:r>
    </w:p>
    <w:p>
      <w:pPr>
        <w:spacing w:before="140"/>
      </w:pPr>
      <w:r>
        <w:rPr>
          <w:rFonts w:ascii="Hiragino Sans GB" w:hAnsi="Hiragino Sans GB" w:eastAsia="Hiragino Sans GB"/>
          <w:b/>
          <w:i w:val="0"/>
        </w:rPr>
        <w:t>1. 使用语音输入时提示“未开启麦克风权限”怎么办？</w:t>
      </w:r>
    </w:p>
    <w:p>
      <w:pPr>
        <w:numPr>
          <w:ilvl w:val="0"/>
          <w:numId w:val="10"/>
        </w:numPr>
      </w:pPr>
      <w:r>
        <w:rPr>
          <w:rFonts w:ascii="Hiragino Sans GB" w:hAnsi="Hiragino Sans GB" w:eastAsia="Hiragino Sans GB"/>
          <w:b w:val="0"/>
          <w:i w:val="0"/>
        </w:rPr>
        <w:t>在 Chrome 中打开任务管理系统，点击语音输入；浏览器首次询问时，选择“允许在访问网站时使用”或“仅此次允许”。</w:t>
      </w:r>
    </w:p>
    <w:p>
      <w:pPr>
        <w:numPr>
          <w:ilvl w:val="0"/>
          <w:numId w:val="10"/>
        </w:numPr>
      </w:pPr>
      <w:r>
        <w:rPr>
          <w:rFonts w:ascii="Hiragino Sans GB" w:hAnsi="Hiragino Sans GB" w:eastAsia="Hiragino Sans GB"/>
          <w:b w:val="0"/>
          <w:i w:val="0"/>
        </w:rPr>
        <w:t>如果之前选择过不允许，点击地址栏左侧的“查看网站信息”图标，进入“网站设置”，将“麦克风”改为“允许”。</w:t>
      </w:r>
    </w:p>
    <w:p>
      <w:pPr>
        <w:numPr>
          <w:ilvl w:val="0"/>
          <w:numId w:val="10"/>
        </w:numPr>
      </w:pPr>
      <w:r>
        <w:rPr>
          <w:rFonts w:ascii="Hiragino Sans GB" w:hAnsi="Hiragino Sans GB" w:eastAsia="Hiragino Sans GB"/>
          <w:b w:val="0"/>
          <w:i w:val="0"/>
        </w:rPr>
        <w:t>返回任务管理系统并刷新页面，再次点击语音输入。</w:t>
      </w:r>
    </w:p>
    <w:p>
      <w:pPr>
        <w:numPr>
          <w:ilvl w:val="0"/>
          <w:numId w:val="10"/>
        </w:numPr>
      </w:pPr>
      <w:r>
        <w:rPr>
          <w:rFonts w:ascii="Hiragino Sans GB" w:hAnsi="Hiragino Sans GB" w:eastAsia="Hiragino Sans GB"/>
          <w:b w:val="0"/>
          <w:i w:val="0"/>
        </w:rPr>
        <w:t>如果仍无法使用，依次进入 Chrome“设置 → 隐私和安全 → 网站设置 → 麦克风”，确认任务管理系统未被列入禁止使用名单，并选择正确的麦克风设备。</w:t>
      </w:r>
    </w:p>
    <w:p>
      <w:pPr>
        <w:numPr>
          <w:ilvl w:val="0"/>
          <w:numId w:val="10"/>
        </w:numPr>
      </w:pPr>
      <w:r>
        <w:rPr>
          <w:rFonts w:ascii="Hiragino Sans GB" w:hAnsi="Hiragino Sans GB" w:eastAsia="Hiragino Sans GB"/>
          <w:b w:val="0"/>
          <w:i w:val="0"/>
        </w:rPr>
        <w:t>若麦克风选项不可修改，或设置后仍无响应，请检查电脑系统是否允许 Chrome 使用麦克风；企业统一管理的浏览器需联系管理员处理。</w:t>
      </w:r>
    </w:p>
    <w:p>
      <w:pPr>
        <w:ind w:left="173"/>
        <w:shd w:fill="F1F5F9"/>
      </w:pPr>
      <w:r>
        <w:rPr>
          <w:rFonts w:ascii="Hiragino Sans GB" w:hAnsi="Hiragino Sans GB" w:eastAsia="Hiragino Sans GB"/>
          <w:b/>
          <w:i w:val="0"/>
        </w:rPr>
        <w:t>完成标志：刷新页面后再次点击语音输入，页面显示“正在听，请说话”，并能识别讲话内容。</w:t>
      </w:r>
    </w:p>
    <w:sectPr w:rsidR="00FC693F" w:rsidRPr="0006063C" w:rsidSect="00034616">
      <w:footerReference w:type="default" r:id="rId43"/>
      <w:pgSz w:w="12240" w:h="15840"/>
      <w:pgMar w:top="1008" w:right="1152" w:bottom="1008" w:left="115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Hiragino Sans GB" w:hAnsi="Hiragino Sans GB" w:eastAsia="Hiragino Sans GB"/>
        <w:b w:val="0"/>
        <w:i/>
      </w:rPr>
      <w:t>任务管理操作手册</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9"/>
    <w:lvlOverride w:ilvl="0">
      <w:startOverride w:val="1"/>
    </w:lvlOverride>
  </w:num>
  <w:abstractNum w:abstractNumId="9">
    <w:nsid w:val="FFFFFF88"/>
    <w:multiLevelType w:val="singleLevel"/>
    <w:tmpl w:val="D0A62B40"/>
    <w:lvl w:ilvl="0">
      <w:start w:val="1"/>
      <w:numFmt w:val="decimal"/>
      <w:pStyle w:val="ListNumber"/>
      <w:lvlText w:val="%1."/>
      <w:lvlJc w:val="left"/>
      <w:pPr>
        <w:tabs>
          <w:tab w:val="num" w:pos="360"/>
        </w:tabs>
        <w:ind w:left="360" w:hanging="360"/>
      </w:pPr>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69" w:lineRule="auto"/>
    </w:pPr>
    <w:rPr>
      <w:rFonts w:ascii="Hiragino Sans GB" w:hAnsi="Hiragino Sans GB" w:eastAsia="Hiragino Sans GB"/>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Hiragino Sans GB" w:hAnsi="Hiragino Sans GB" w:eastAsia="Hiragino Sans GB"/>
      <w:b/>
      <w:bCs/>
      <w:color w:val="1F4D78"/>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Hiragino Sans GB" w:hAnsi="Hiragino Sans GB" w:eastAsia="Hiragino Sans GB"/>
      <w:b/>
      <w:bCs/>
      <w:color w:val="2E74B5"/>
      <w:sz w:val="28"/>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Hiragino Sans GB" w:hAnsi="Hiragino Sans GB" w:eastAsia="Hiragino Sans GB"/>
      <w:b/>
      <w:bCs/>
      <w:color w:val="1F4D78"/>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image" Target="media/image6.png"/><Relationship Id="rId15" Type="http://schemas.openxmlformats.org/officeDocument/2006/relationships/image" Target="media/image7.png"/><Relationship Id="rId16" Type="http://schemas.openxmlformats.org/officeDocument/2006/relationships/image" Target="media/image8.png"/><Relationship Id="rId17" Type="http://schemas.openxmlformats.org/officeDocument/2006/relationships/image" Target="media/image9.png"/><Relationship Id="rId18" Type="http://schemas.openxmlformats.org/officeDocument/2006/relationships/image" Target="media/image10.png"/><Relationship Id="rId19" Type="http://schemas.openxmlformats.org/officeDocument/2006/relationships/image" Target="media/image11.png"/><Relationship Id="rId20" Type="http://schemas.openxmlformats.org/officeDocument/2006/relationships/image" Target="media/image12.png"/><Relationship Id="rId21" Type="http://schemas.openxmlformats.org/officeDocument/2006/relationships/image" Target="media/image13.png"/><Relationship Id="rId22" Type="http://schemas.openxmlformats.org/officeDocument/2006/relationships/image" Target="media/image14.png"/><Relationship Id="rId23" Type="http://schemas.openxmlformats.org/officeDocument/2006/relationships/image" Target="media/image15.png"/><Relationship Id="rId24" Type="http://schemas.openxmlformats.org/officeDocument/2006/relationships/image" Target="media/image16.png"/><Relationship Id="rId25" Type="http://schemas.openxmlformats.org/officeDocument/2006/relationships/image" Target="media/image17.png"/><Relationship Id="rId26" Type="http://schemas.openxmlformats.org/officeDocument/2006/relationships/image" Target="media/image18.png"/><Relationship Id="rId27" Type="http://schemas.openxmlformats.org/officeDocument/2006/relationships/image" Target="media/image19.png"/><Relationship Id="rId28" Type="http://schemas.openxmlformats.org/officeDocument/2006/relationships/image" Target="media/image20.png"/><Relationship Id="rId29" Type="http://schemas.openxmlformats.org/officeDocument/2006/relationships/image" Target="media/image21.png"/><Relationship Id="rId30" Type="http://schemas.openxmlformats.org/officeDocument/2006/relationships/image" Target="media/image22.png"/><Relationship Id="rId31" Type="http://schemas.openxmlformats.org/officeDocument/2006/relationships/image" Target="media/image23.png"/><Relationship Id="rId32" Type="http://schemas.openxmlformats.org/officeDocument/2006/relationships/image" Target="media/image24.png"/><Relationship Id="rId33" Type="http://schemas.openxmlformats.org/officeDocument/2006/relationships/image" Target="media/image25.png"/><Relationship Id="rId34" Type="http://schemas.openxmlformats.org/officeDocument/2006/relationships/image" Target="media/image26.png"/><Relationship Id="rId35" Type="http://schemas.openxmlformats.org/officeDocument/2006/relationships/image" Target="media/image27.png"/><Relationship Id="rId36" Type="http://schemas.openxmlformats.org/officeDocument/2006/relationships/image" Target="media/image28.png"/><Relationship Id="rId37" Type="http://schemas.openxmlformats.org/officeDocument/2006/relationships/image" Target="media/image29.png"/><Relationship Id="rId38" Type="http://schemas.openxmlformats.org/officeDocument/2006/relationships/image" Target="media/image30.png"/><Relationship Id="rId39" Type="http://schemas.openxmlformats.org/officeDocument/2006/relationships/image" Target="media/image31.png"/><Relationship Id="rId40" Type="http://schemas.openxmlformats.org/officeDocument/2006/relationships/image" Target="media/image32.png"/><Relationship Id="rId41" Type="http://schemas.openxmlformats.org/officeDocument/2006/relationships/image" Target="media/image33.png"/><Relationship Id="rId42" Type="http://schemas.openxmlformats.org/officeDocument/2006/relationships/image" Target="media/image34.png"/><Relationship Id="rId43"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